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05FE4D">
      <w:pPr>
        <w:pStyle w:val="2"/>
        <w:spacing w:line="240" w:lineRule="atLeast"/>
        <w:ind w:firstLine="0" w:firstLineChars="0"/>
        <w:jc w:val="left"/>
        <w:rPr>
          <w:rFonts w:ascii="仿宋_GB2312" w:hAnsi="楷体" w:cs="楷体"/>
        </w:rPr>
      </w:pPr>
      <w:bookmarkStart w:id="0" w:name="_Hlk171248156"/>
      <w:bookmarkEnd w:id="0"/>
      <w:r>
        <w:rPr>
          <w:rFonts w:hint="eastAsia" w:ascii="仿宋_GB2312" w:hAnsi="楷体" w:cs="楷体"/>
        </w:rPr>
        <w:t>附件</w:t>
      </w:r>
      <w:r>
        <w:rPr>
          <w:rFonts w:ascii="仿宋_GB2312" w:hAnsi="楷体" w:cs="楷体"/>
        </w:rPr>
        <w:t>3</w:t>
      </w:r>
      <w:r>
        <w:rPr>
          <w:rFonts w:hint="eastAsia" w:ascii="仿宋_GB2312" w:hAnsi="楷体" w:cs="楷体"/>
        </w:rPr>
        <w:t>：</w:t>
      </w:r>
    </w:p>
    <w:p w14:paraId="065D73DF">
      <w:pPr>
        <w:keepNext/>
        <w:keepLines/>
        <w:spacing w:before="260" w:after="260" w:line="240" w:lineRule="atLeast"/>
        <w:ind w:firstLine="880" w:firstLineChars="200"/>
        <w:jc w:val="center"/>
        <w:outlineLvl w:val="1"/>
        <w:rPr>
          <w:rFonts w:hint="eastAsia" w:ascii="方正小标宋_GBK" w:hAnsi="方正小标宋_GBK" w:eastAsia="方正小标宋_GBK" w:cs="方正小标宋_GBK"/>
          <w:b w:val="0"/>
          <w:bCs/>
          <w:sz w:val="44"/>
          <w:szCs w:val="44"/>
        </w:rPr>
      </w:pPr>
      <w:bookmarkStart w:id="3" w:name="_GoBack"/>
      <w:bookmarkStart w:id="1" w:name="OLE_LINK6"/>
      <w:bookmarkStart w:id="2" w:name="OLE_LINK5"/>
      <w:r>
        <w:rPr>
          <w:rFonts w:hint="eastAsia" w:ascii="方正小标宋_GBK" w:hAnsi="方正小标宋_GBK" w:eastAsia="方正小标宋_GBK" w:cs="方正小标宋_GBK"/>
          <w:b w:val="0"/>
          <w:bCs/>
          <w:sz w:val="44"/>
          <w:szCs w:val="44"/>
        </w:rPr>
        <w:t>北京电力医院会诊制度</w:t>
      </w:r>
      <w:bookmarkEnd w:id="1"/>
      <w:bookmarkEnd w:id="2"/>
    </w:p>
    <w:bookmarkEnd w:id="3"/>
    <w:p w14:paraId="73F41630">
      <w:pPr>
        <w:widowControl/>
        <w:spacing w:after="360" w:line="240" w:lineRule="atLeast"/>
        <w:ind w:firstLine="622" w:firstLineChars="200"/>
        <w:jc w:val="center"/>
        <w:rPr>
          <w:rFonts w:ascii="仿宋_GB2312" w:hAnsi="仿宋_GB2312" w:eastAsia="仿宋_GB2312" w:cs="仿宋_GB2312"/>
          <w:b/>
          <w:bCs/>
          <w:color w:val="000000"/>
          <w:kern w:val="0"/>
          <w:sz w:val="31"/>
          <w:szCs w:val="31"/>
          <w:lang w:bidi="ar"/>
        </w:rPr>
      </w:pPr>
      <w:r>
        <w:rPr>
          <w:rFonts w:ascii="仿宋_GB2312" w:hAnsi="仿宋_GB2312" w:eastAsia="仿宋_GB2312" w:cs="仿宋_GB2312"/>
          <w:b/>
          <w:bCs/>
          <w:color w:val="000000"/>
          <w:kern w:val="0"/>
          <w:sz w:val="31"/>
          <w:szCs w:val="31"/>
          <w:lang w:bidi="ar"/>
        </w:rPr>
        <w:t>第一章 总 则</w:t>
      </w:r>
    </w:p>
    <w:p w14:paraId="0F76D7E7">
      <w:pPr>
        <w:widowControl/>
        <w:spacing w:line="240" w:lineRule="atLeast"/>
        <w:ind w:firstLine="622" w:firstLineChars="200"/>
        <w:jc w:val="left"/>
        <w:rPr>
          <w:rFonts w:ascii="Times New Roman" w:hAnsi="Times New Roman"/>
        </w:rPr>
      </w:pPr>
      <w:r>
        <w:rPr>
          <w:rFonts w:ascii="仿宋_GB2312" w:hAnsi="仿宋_GB2312" w:eastAsia="仿宋_GB2312" w:cs="仿宋_GB2312"/>
          <w:b/>
          <w:bCs/>
          <w:color w:val="000000"/>
          <w:kern w:val="0"/>
          <w:sz w:val="31"/>
          <w:szCs w:val="31"/>
          <w:lang w:bidi="ar"/>
        </w:rPr>
        <w:t>第一条</w:t>
      </w:r>
      <w:r>
        <w:rPr>
          <w:rFonts w:ascii="仿宋_GB2312" w:hAnsi="仿宋_GB2312" w:eastAsia="仿宋_GB2312" w:cs="仿宋_GB2312"/>
          <w:color w:val="000000"/>
          <w:kern w:val="0"/>
          <w:sz w:val="31"/>
          <w:szCs w:val="31"/>
          <w:lang w:bidi="ar"/>
        </w:rPr>
        <w:t xml:space="preserve"> 会诊是指出于诊疗需要，由本科室以外或本院以外的医务人员协助提出诊疗意见或提供诊疗服务的活动。规范会诊行为的制度称为会诊制度。 </w:t>
      </w:r>
    </w:p>
    <w:p w14:paraId="2F584672">
      <w:pPr>
        <w:widowControl/>
        <w:spacing w:line="240" w:lineRule="atLeast"/>
        <w:ind w:firstLine="622" w:firstLineChars="200"/>
        <w:jc w:val="left"/>
        <w:rPr>
          <w:rFonts w:ascii="Times New Roman" w:hAnsi="Times New Roman"/>
        </w:rPr>
      </w:pPr>
      <w:r>
        <w:rPr>
          <w:rFonts w:ascii="仿宋_GB2312" w:hAnsi="仿宋_GB2312" w:eastAsia="仿宋_GB2312" w:cs="仿宋_GB2312"/>
          <w:b/>
          <w:bCs/>
          <w:color w:val="000000"/>
          <w:kern w:val="0"/>
          <w:sz w:val="31"/>
          <w:szCs w:val="31"/>
          <w:lang w:bidi="ar"/>
        </w:rPr>
        <w:t>第二条</w:t>
      </w:r>
      <w:r>
        <w:rPr>
          <w:rFonts w:ascii="仿宋_GB2312" w:hAnsi="仿宋_GB2312" w:eastAsia="仿宋_GB2312" w:cs="仿宋_GB2312"/>
          <w:color w:val="000000"/>
          <w:kern w:val="0"/>
          <w:sz w:val="31"/>
          <w:szCs w:val="31"/>
          <w:lang w:bidi="ar"/>
        </w:rPr>
        <w:t xml:space="preserve"> 本制度适用于医院所有</w:t>
      </w:r>
      <w:r>
        <w:rPr>
          <w:rFonts w:hint="eastAsia" w:ascii="仿宋_GB2312" w:hAnsi="仿宋_GB2312" w:eastAsia="仿宋_GB2312" w:cs="仿宋_GB2312"/>
          <w:color w:val="000000"/>
          <w:kern w:val="0"/>
          <w:sz w:val="31"/>
          <w:szCs w:val="31"/>
          <w:lang w:bidi="ar"/>
        </w:rPr>
        <w:t>临床医技</w:t>
      </w:r>
      <w:r>
        <w:rPr>
          <w:rFonts w:ascii="仿宋_GB2312" w:hAnsi="仿宋_GB2312" w:eastAsia="仿宋_GB2312" w:cs="仿宋_GB2312"/>
          <w:color w:val="000000"/>
          <w:kern w:val="0"/>
          <w:sz w:val="31"/>
          <w:szCs w:val="31"/>
          <w:lang w:bidi="ar"/>
        </w:rPr>
        <w:t xml:space="preserve">科室。 </w:t>
      </w:r>
    </w:p>
    <w:p w14:paraId="6B2B4A83">
      <w:pPr>
        <w:widowControl/>
        <w:spacing w:after="360" w:line="240" w:lineRule="atLeast"/>
        <w:ind w:firstLine="622" w:firstLineChars="200"/>
        <w:jc w:val="center"/>
        <w:rPr>
          <w:rFonts w:ascii="仿宋_GB2312" w:hAnsi="仿宋_GB2312" w:eastAsia="仿宋_GB2312" w:cs="仿宋_GB2312"/>
          <w:b/>
          <w:bCs/>
          <w:color w:val="000000"/>
          <w:kern w:val="0"/>
          <w:sz w:val="31"/>
          <w:szCs w:val="31"/>
          <w:lang w:bidi="ar"/>
        </w:rPr>
      </w:pPr>
      <w:r>
        <w:rPr>
          <w:rFonts w:ascii="仿宋_GB2312" w:hAnsi="仿宋_GB2312" w:eastAsia="仿宋_GB2312" w:cs="仿宋_GB2312"/>
          <w:b/>
          <w:bCs/>
          <w:color w:val="000000"/>
          <w:kern w:val="0"/>
          <w:sz w:val="31"/>
          <w:szCs w:val="31"/>
          <w:lang w:bidi="ar"/>
        </w:rPr>
        <w:t>第二章 管理要求</w:t>
      </w:r>
    </w:p>
    <w:p w14:paraId="717748DF">
      <w:pPr>
        <w:widowControl/>
        <w:spacing w:line="240" w:lineRule="atLeast"/>
        <w:ind w:firstLine="622" w:firstLineChars="200"/>
        <w:jc w:val="left"/>
        <w:rPr>
          <w:rFonts w:ascii="Times New Roman" w:hAnsi="Times New Roman"/>
        </w:rPr>
      </w:pPr>
      <w:r>
        <w:rPr>
          <w:rFonts w:ascii="仿宋_GB2312" w:hAnsi="仿宋_GB2312" w:eastAsia="仿宋_GB2312" w:cs="仿宋_GB2312"/>
          <w:b/>
          <w:bCs/>
          <w:color w:val="000000"/>
          <w:kern w:val="0"/>
          <w:sz w:val="31"/>
          <w:szCs w:val="31"/>
          <w:lang w:bidi="ar"/>
        </w:rPr>
        <w:t>第三条</w:t>
      </w:r>
      <w:r>
        <w:rPr>
          <w:rFonts w:ascii="仿宋_GB2312" w:hAnsi="仿宋_GB2312" w:eastAsia="仿宋_GB2312" w:cs="仿宋_GB2312"/>
          <w:color w:val="000000"/>
          <w:kern w:val="0"/>
          <w:sz w:val="31"/>
          <w:szCs w:val="31"/>
          <w:lang w:bidi="ar"/>
        </w:rPr>
        <w:t xml:space="preserve"> 会诊分类及基本要求</w:t>
      </w:r>
    </w:p>
    <w:p w14:paraId="685A28A1">
      <w:pPr>
        <w:widowControl/>
        <w:numPr>
          <w:ilvl w:val="0"/>
          <w:numId w:val="1"/>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按会诊范围，会诊分为院内会诊和院外会诊。多学科会诊是指同时邀请两个及以上学科参与的会诊，需要涉及跨部门/科室、跨专业领域的活动，为了确保多学科会诊的效率与质量，应由</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 xml:space="preserve">负责组织会诊。既可以提高会诊的效率和及时性，便于有效协调院内相关医疗资源；又可以对会诊质量进行有效监管，对参与多学科会诊医师的资质进行把关等。 </w:t>
      </w:r>
    </w:p>
    <w:p w14:paraId="1D12E2D0">
      <w:pPr>
        <w:widowControl/>
        <w:numPr>
          <w:ilvl w:val="0"/>
          <w:numId w:val="1"/>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按病情紧急程度，会诊分为急会诊和普通会诊。会诊医师必须到现场亲自详细阅读病历，了解病情，亲自检查患者，不允许以电话形式进行会诊。若遇有紧急抢救，可以在电话中先进行病情交流，同时尽快赶到现场会诊。电话交流不能代替急会诊10分钟内到位的要求。当患者罹患疾病超出了本科室诊疗范围和处置能力，且经评估可能随时危及生命，需要院内其他科室医师立刻协助诊疗、参与抢救，此种情形可以发出急会诊申请</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为了避免造成有限的医疗资源浪费，提高急会诊的质量与效率，邀请会诊的医师需要严格把握急会诊指征。</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定期抽查急会诊记录，合理调配医务人员以确保急会诊及时到位；保证有效通信方式，拨打科室电话，或者直接拨打医生手机</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参加急会诊医师乘坐医护人员工作电梯，快速</w:t>
      </w:r>
      <w:r>
        <w:rPr>
          <w:rFonts w:hint="eastAsia" w:ascii="仿宋_GB2312" w:hAnsi="仿宋_GB2312" w:eastAsia="仿宋_GB2312" w:cs="仿宋_GB2312"/>
          <w:color w:val="000000"/>
          <w:kern w:val="0"/>
          <w:sz w:val="31"/>
          <w:szCs w:val="31"/>
          <w:lang w:bidi="ar"/>
        </w:rPr>
        <w:t>赶</w:t>
      </w:r>
      <w:r>
        <w:rPr>
          <w:rFonts w:ascii="仿宋_GB2312" w:hAnsi="仿宋_GB2312" w:eastAsia="仿宋_GB2312" w:cs="仿宋_GB2312"/>
          <w:color w:val="000000"/>
          <w:kern w:val="0"/>
          <w:sz w:val="31"/>
          <w:szCs w:val="31"/>
          <w:lang w:bidi="ar"/>
        </w:rPr>
        <w:t>至会诊地点。</w:t>
      </w:r>
    </w:p>
    <w:p w14:paraId="5AB5681A">
      <w:pPr>
        <w:widowControl/>
        <w:numPr>
          <w:ilvl w:val="0"/>
          <w:numId w:val="1"/>
        </w:numPr>
        <w:spacing w:line="240" w:lineRule="atLeast"/>
        <w:ind w:firstLine="620" w:firstLineChars="200"/>
        <w:jc w:val="left"/>
        <w:rPr>
          <w:rFonts w:ascii="Times New Roman" w:hAnsi="Times New Roman"/>
        </w:rPr>
      </w:pP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制定统一会诊单格式及填写规范，明确各类会诊的具体流程。会诊单至少应由以下几个要素组成，住院</w:t>
      </w:r>
      <w:r>
        <w:rPr>
          <w:rFonts w:hint="eastAsia" w:ascii="仿宋_GB2312" w:hAnsi="仿宋_GB2312" w:eastAsia="仿宋_GB2312" w:cs="仿宋_GB2312"/>
          <w:color w:val="000000"/>
          <w:kern w:val="0"/>
          <w:sz w:val="31"/>
          <w:szCs w:val="31"/>
          <w:lang w:bidi="ar"/>
        </w:rPr>
        <w:t>病历</w:t>
      </w:r>
      <w:r>
        <w:rPr>
          <w:rFonts w:ascii="仿宋_GB2312" w:hAnsi="仿宋_GB2312" w:eastAsia="仿宋_GB2312" w:cs="仿宋_GB2312"/>
          <w:color w:val="000000"/>
          <w:kern w:val="0"/>
          <w:sz w:val="31"/>
          <w:szCs w:val="31"/>
          <w:lang w:bidi="ar"/>
        </w:rPr>
        <w:t>号/</w:t>
      </w:r>
      <w:r>
        <w:rPr>
          <w:rFonts w:hint="eastAsia" w:ascii="仿宋_GB2312" w:hAnsi="仿宋_GB2312" w:eastAsia="仿宋_GB2312" w:cs="仿宋_GB2312"/>
          <w:color w:val="000000"/>
          <w:kern w:val="0"/>
          <w:sz w:val="31"/>
          <w:szCs w:val="31"/>
          <w:lang w:bidi="ar"/>
        </w:rPr>
        <w:t>患者</w:t>
      </w:r>
      <w:r>
        <w:rPr>
          <w:rFonts w:ascii="仿宋_GB2312" w:hAnsi="仿宋_GB2312" w:eastAsia="仿宋_GB2312" w:cs="仿宋_GB2312"/>
          <w:color w:val="000000"/>
          <w:kern w:val="0"/>
          <w:sz w:val="31"/>
          <w:szCs w:val="31"/>
          <w:lang w:bidi="ar"/>
        </w:rPr>
        <w:t xml:space="preserve">ID、姓名、性别、年龄、简要病情及诊疗情况、会诊目的、申请人签名、申请时间(时间记录到分)、会诊意见或建议、会诊人签名及会诊完成时间(时间记录到分)。 </w:t>
      </w:r>
    </w:p>
    <w:p w14:paraId="6D740C47">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会诊流程包括但不限于以下类型： </w:t>
      </w:r>
    </w:p>
    <w:p w14:paraId="25C20D09">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(1)院内普通会诊流程图。（附件1） </w:t>
      </w:r>
    </w:p>
    <w:p w14:paraId="6D0253A9">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(2)院内急会诊流程图。（附件2） </w:t>
      </w:r>
    </w:p>
    <w:p w14:paraId="2E868543">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(3)院内多学科会诊流程图(含全院会诊)。（附件3） </w:t>
      </w:r>
    </w:p>
    <w:p w14:paraId="4D4408F8">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(4)邀请院外专家会诊流程图。（附件4） </w:t>
      </w:r>
    </w:p>
    <w:p w14:paraId="58DD5462">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(5)受邀请至院外机构会诊流程图。（附件</w:t>
      </w:r>
      <w:r>
        <w:rPr>
          <w:rFonts w:hint="eastAsia" w:ascii="仿宋_GB2312" w:hAnsi="仿宋_GB2312" w:eastAsia="仿宋_GB2312" w:cs="仿宋_GB2312"/>
          <w:color w:val="000000"/>
          <w:kern w:val="0"/>
          <w:sz w:val="31"/>
          <w:szCs w:val="31"/>
          <w:lang w:bidi="ar"/>
        </w:rPr>
        <w:t>5</w:t>
      </w:r>
      <w:r>
        <w:rPr>
          <w:rFonts w:ascii="仿宋_GB2312" w:hAnsi="仿宋_GB2312" w:eastAsia="仿宋_GB2312" w:cs="仿宋_GB2312"/>
          <w:color w:val="000000"/>
          <w:kern w:val="0"/>
          <w:sz w:val="31"/>
          <w:szCs w:val="31"/>
          <w:lang w:bidi="ar"/>
        </w:rPr>
        <w:t xml:space="preserve">） </w:t>
      </w:r>
    </w:p>
    <w:p w14:paraId="7884B9CA">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(6)远程会诊流程图。（附件6） </w:t>
      </w:r>
    </w:p>
    <w:p w14:paraId="73AD8137">
      <w:pPr>
        <w:widowControl/>
        <w:numPr>
          <w:ilvl w:val="0"/>
          <w:numId w:val="1"/>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原则上，会诊请求人员应当陪同完成会诊，会诊情况应当在会诊单中记录。为便于受邀会诊医师尽快并准确了解患者病情，请求会诊人员应向受邀会诊医师介绍患者基本情况和诊疗过程，并清晰、准确表明会诊目的、会诊要求，以便提高会诊效率。急会诊请求方必须全程陪同。会诊请求人员陪同会诊，也是对受邀会诊医师的尊重。会诊请求人员应当在病历中将会诊意见或建议的执行情况进行记录，对未执行的会诊意见或建议应在病程记录中注明理由。 </w:t>
      </w:r>
    </w:p>
    <w:p w14:paraId="7E3D2D78">
      <w:pPr>
        <w:widowControl/>
        <w:numPr>
          <w:ilvl w:val="0"/>
          <w:numId w:val="1"/>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会诊医师的资质规定：普通会诊应由主治及以上技术职称医师或三级查房医师中的中级及以上的医师提出；多学科会诊的请求人员原则上为科主任、主诊医师、医疗组长、带组的主任医师等医师；邀请机构外专家会诊原则上应征得科主任同意及</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批准。非特殊原因，不得越级开展工作。普通会诊受邀医师应当具有主治医师资质或医疗管理部门认定</w:t>
      </w:r>
      <w:r>
        <w:rPr>
          <w:rFonts w:hint="eastAsia" w:ascii="仿宋_GB2312" w:hAnsi="仿宋_GB2312" w:eastAsia="仿宋_GB2312" w:cs="仿宋_GB2312"/>
          <w:color w:val="000000"/>
          <w:kern w:val="0"/>
          <w:sz w:val="31"/>
          <w:szCs w:val="31"/>
          <w:lang w:bidi="ar"/>
        </w:rPr>
        <w:t>的</w:t>
      </w:r>
      <w:r>
        <w:rPr>
          <w:rFonts w:ascii="仿宋_GB2312" w:hAnsi="仿宋_GB2312" w:eastAsia="仿宋_GB2312" w:cs="仿宋_GB2312"/>
          <w:color w:val="000000"/>
          <w:kern w:val="0"/>
          <w:sz w:val="31"/>
          <w:szCs w:val="31"/>
          <w:lang w:bidi="ar"/>
        </w:rPr>
        <w:t>医师</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多学科会诊的受邀医师应当</w:t>
      </w:r>
      <w:r>
        <w:rPr>
          <w:rFonts w:hint="eastAsia" w:ascii="仿宋_GB2312" w:hAnsi="仿宋_GB2312" w:eastAsia="仿宋_GB2312" w:cs="仿宋_GB2312"/>
          <w:color w:val="000000"/>
          <w:kern w:val="0"/>
          <w:sz w:val="31"/>
          <w:szCs w:val="31"/>
          <w:lang w:bidi="ar"/>
        </w:rPr>
        <w:t>为本院二线值班医师或副高级及以上职称人员。</w:t>
      </w:r>
      <w:r>
        <w:rPr>
          <w:rFonts w:ascii="仿宋_GB2312" w:hAnsi="仿宋_GB2312" w:eastAsia="仿宋_GB2312" w:cs="仿宋_GB2312"/>
          <w:color w:val="000000"/>
          <w:kern w:val="0"/>
          <w:sz w:val="31"/>
          <w:szCs w:val="31"/>
          <w:lang w:bidi="ar"/>
        </w:rPr>
        <w:t>急会诊的请求医师和受邀医师不受资质限制，但应首选在岗的最高资质医师。</w:t>
      </w:r>
    </w:p>
    <w:p w14:paraId="49BB0BC7">
      <w:pPr>
        <w:widowControl/>
        <w:numPr>
          <w:ilvl w:val="0"/>
          <w:numId w:val="1"/>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前往或邀请院外机构会诊，应当严格遵照国家有关规定执行。 </w:t>
      </w:r>
    </w:p>
    <w:p w14:paraId="78BF39E3">
      <w:pPr>
        <w:widowControl/>
        <w:spacing w:line="240" w:lineRule="atLeast"/>
        <w:ind w:firstLine="622" w:firstLineChars="200"/>
        <w:jc w:val="left"/>
        <w:rPr>
          <w:rFonts w:ascii="Times New Roman" w:hAnsi="Times New Roman"/>
        </w:rPr>
      </w:pPr>
      <w:r>
        <w:rPr>
          <w:rFonts w:ascii="仿宋_GB2312" w:hAnsi="仿宋_GB2312" w:eastAsia="仿宋_GB2312" w:cs="仿宋_GB2312"/>
          <w:b/>
          <w:bCs/>
          <w:color w:val="000000"/>
          <w:kern w:val="0"/>
          <w:sz w:val="31"/>
          <w:szCs w:val="31"/>
          <w:lang w:bidi="ar"/>
        </w:rPr>
        <w:t>第四条</w:t>
      </w:r>
      <w:r>
        <w:rPr>
          <w:rFonts w:ascii="仿宋_GB2312" w:hAnsi="仿宋_GB2312" w:eastAsia="仿宋_GB2312" w:cs="仿宋_GB2312"/>
          <w:color w:val="000000"/>
          <w:kern w:val="0"/>
          <w:sz w:val="31"/>
          <w:szCs w:val="31"/>
          <w:lang w:bidi="ar"/>
        </w:rPr>
        <w:t xml:space="preserve"> 具体内容</w:t>
      </w:r>
    </w:p>
    <w:p w14:paraId="3BA8BA54">
      <w:pPr>
        <w:widowControl/>
        <w:numPr>
          <w:ilvl w:val="0"/>
          <w:numId w:val="2"/>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凡遇疑难危重病例，应及时申请会诊。患者所患疾病属于执业范围之外，应通过会诊转至相关科室开展诊疗；患者罹患本科疾病的基础上并伴随有执业范围外的疾病需要同时治疗，应在积极治疗本专业范围疾病的基础上，请求会诊协助诊疗，严格按照该疾病的诊疗规范实施诊疗。</w:t>
      </w:r>
    </w:p>
    <w:p w14:paraId="50895954">
      <w:pPr>
        <w:widowControl/>
        <w:numPr>
          <w:ilvl w:val="0"/>
          <w:numId w:val="2"/>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受邀科室应在规定时间内会诊。急诊会诊随请随到，最迟不超过10分钟到达；普通会诊应在24小时内完成。急会诊必须采用即发即达的通知方式，如电话通知，急会诊的申请单不需送达应邀会诊科室。急会诊记录单应明确记录邀请会诊时间和会诊到达时间，并具体到分钟。</w:t>
      </w:r>
    </w:p>
    <w:p w14:paraId="49A85E1B">
      <w:pPr>
        <w:widowControl/>
        <w:numPr>
          <w:ilvl w:val="0"/>
          <w:numId w:val="2"/>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会诊医师遇到自己解决不了的问题，应及时报请本科上级医师并邀请前往会诊，决不允许借故拖延时间延误病情，应邀科室逾期不予会诊者，申请会诊的科室应向</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 xml:space="preserve">报告，责任在应邀科室。受邀会诊医师根据本次会诊情况完成会诊意见书写视为本次会诊结束。 </w:t>
      </w:r>
    </w:p>
    <w:p w14:paraId="15CCF68A">
      <w:pPr>
        <w:widowControl/>
        <w:spacing w:line="240" w:lineRule="atLeast"/>
        <w:ind w:firstLine="622" w:firstLineChars="200"/>
        <w:jc w:val="left"/>
        <w:rPr>
          <w:rFonts w:ascii="Times New Roman" w:hAnsi="Times New Roman"/>
        </w:rPr>
      </w:pPr>
      <w:r>
        <w:rPr>
          <w:rFonts w:ascii="仿宋_GB2312" w:hAnsi="仿宋_GB2312" w:eastAsia="仿宋_GB2312" w:cs="仿宋_GB2312"/>
          <w:b/>
          <w:bCs/>
          <w:color w:val="000000"/>
          <w:kern w:val="0"/>
          <w:sz w:val="31"/>
          <w:szCs w:val="31"/>
          <w:lang w:bidi="ar"/>
        </w:rPr>
        <w:t>第五条</w:t>
      </w:r>
      <w:r>
        <w:rPr>
          <w:rFonts w:ascii="仿宋_GB2312" w:hAnsi="仿宋_GB2312" w:eastAsia="仿宋_GB2312" w:cs="仿宋_GB2312"/>
          <w:color w:val="000000"/>
          <w:kern w:val="0"/>
          <w:sz w:val="31"/>
          <w:szCs w:val="31"/>
          <w:lang w:bidi="ar"/>
        </w:rPr>
        <w:t xml:space="preserve"> 会诊申请</w:t>
      </w:r>
    </w:p>
    <w:p w14:paraId="5D086AC6">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（一）院内会诊 </w:t>
      </w:r>
    </w:p>
    <w:p w14:paraId="3B2D2884">
      <w:pPr>
        <w:widowControl/>
        <w:numPr>
          <w:ilvl w:val="0"/>
          <w:numId w:val="3"/>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普通会诊：会诊由病房主治医师决定，经治医师</w:t>
      </w:r>
      <w:r>
        <w:rPr>
          <w:rFonts w:hint="eastAsia" w:ascii="仿宋_GB2312" w:hAnsi="仿宋_GB2312" w:eastAsia="仿宋_GB2312" w:cs="仿宋_GB2312"/>
          <w:color w:val="000000"/>
          <w:kern w:val="0"/>
          <w:sz w:val="31"/>
          <w:szCs w:val="31"/>
          <w:lang w:bidi="ar"/>
        </w:rPr>
        <w:t>在电子病历系统</w:t>
      </w:r>
      <w:r>
        <w:rPr>
          <w:rFonts w:ascii="仿宋_GB2312" w:hAnsi="仿宋_GB2312" w:eastAsia="仿宋_GB2312" w:cs="仿宋_GB2312"/>
          <w:color w:val="000000"/>
          <w:kern w:val="0"/>
          <w:sz w:val="31"/>
          <w:szCs w:val="31"/>
          <w:lang w:bidi="ar"/>
        </w:rPr>
        <w:t>填写会诊单，须严格填写申请单、书写申请会诊记录，简要重点描述患者的病情及诊疗情况、申请会诊的理由和目的，申请时间具体到日。申请科室负责将申请单发送到被邀请会诊科室。应邀会诊医师须为主治及以上职称医师。</w:t>
      </w:r>
    </w:p>
    <w:p w14:paraId="73DB2D09">
      <w:pPr>
        <w:widowControl/>
        <w:numPr>
          <w:ilvl w:val="0"/>
          <w:numId w:val="3"/>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急会诊：如病人病情紧急，需请他科会诊时，申请科室须填写急会诊申请单，时间具体到分钟，注明急会诊，发送受邀请科室并电话通知受邀科室；危重病人可由值班医师或护士电话邀请有关科室来会诊。受邀请科室不得以任何理由拒绝会诊。</w:t>
      </w:r>
    </w:p>
    <w:p w14:paraId="0A95C96A">
      <w:pPr>
        <w:widowControl/>
        <w:numPr>
          <w:ilvl w:val="0"/>
          <w:numId w:val="3"/>
        </w:numPr>
        <w:spacing w:line="240" w:lineRule="atLeast"/>
        <w:ind w:firstLine="620" w:firstLineChars="200"/>
        <w:jc w:val="left"/>
        <w:rPr>
          <w:rFonts w:ascii="Times New Roman" w:hAnsi="Times New Roman"/>
        </w:rPr>
      </w:pPr>
      <w:r>
        <w:rPr>
          <w:rFonts w:hint="eastAsia" w:ascii="仿宋_GB2312" w:hAnsi="仿宋_GB2312" w:eastAsia="仿宋_GB2312" w:cs="仿宋_GB2312"/>
          <w:color w:val="000000"/>
          <w:kern w:val="0"/>
          <w:sz w:val="31"/>
          <w:szCs w:val="31"/>
          <w:lang w:bidi="ar"/>
        </w:rPr>
        <w:t>全院</w:t>
      </w:r>
      <w:r>
        <w:rPr>
          <w:rFonts w:ascii="仿宋_GB2312" w:hAnsi="仿宋_GB2312" w:eastAsia="仿宋_GB2312" w:cs="仿宋_GB2312"/>
          <w:color w:val="000000"/>
          <w:kern w:val="0"/>
          <w:sz w:val="31"/>
          <w:szCs w:val="31"/>
          <w:lang w:bidi="ar"/>
        </w:rPr>
        <w:t>会诊：类同院内疑难病例讨论，由科主任提出，确定会诊时间、地点和需要参加的科室（或医师），报</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，由</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负责通知有关科室（或医师）参加。会诊由</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 xml:space="preserve">主持，必要时，请外院专家参加。经治医师记录发言情况，书写会诊讨论结论记录。 </w:t>
      </w:r>
    </w:p>
    <w:p w14:paraId="7A4C47F4">
      <w:pPr>
        <w:widowControl/>
        <w:numPr>
          <w:ilvl w:val="0"/>
          <w:numId w:val="3"/>
        </w:numPr>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多学科会诊：由科主任提出，经治医师填写《多科会诊申请单》送</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负责组织并确定会诊时间、地点和需要参加的科室（或医师），会诊由</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主持，经治医师记录发言情况，按照《疑难病例讨论制度》书写多科会诊的意见和结论，</w:t>
      </w:r>
      <w:r>
        <w:rPr>
          <w:rFonts w:hint="eastAsia" w:ascii="仿宋_GB2312" w:hAnsi="仿宋_GB2312" w:eastAsia="仿宋_GB2312" w:cs="仿宋_GB2312"/>
          <w:color w:val="000000"/>
          <w:kern w:val="0"/>
          <w:sz w:val="31"/>
          <w:szCs w:val="31"/>
          <w:lang w:bidi="ar"/>
        </w:rPr>
        <w:t>科主任</w:t>
      </w:r>
      <w:r>
        <w:rPr>
          <w:rFonts w:ascii="仿宋_GB2312" w:hAnsi="仿宋_GB2312" w:eastAsia="仿宋_GB2312" w:cs="仿宋_GB2312"/>
          <w:color w:val="000000"/>
          <w:kern w:val="0"/>
          <w:sz w:val="31"/>
          <w:szCs w:val="31"/>
          <w:lang w:bidi="ar"/>
        </w:rPr>
        <w:t>审阅后在会诊记录上签名。门诊患者多学科会诊，由牵头人负责提出，门诊</w:t>
      </w:r>
      <w:r>
        <w:rPr>
          <w:rFonts w:hint="eastAsia" w:ascii="仿宋_GB2312" w:hAnsi="仿宋_GB2312" w:eastAsia="仿宋_GB2312" w:cs="仿宋_GB2312"/>
          <w:color w:val="000000"/>
          <w:kern w:val="0"/>
          <w:sz w:val="31"/>
          <w:szCs w:val="31"/>
          <w:lang w:bidi="ar"/>
        </w:rPr>
        <w:t>部</w:t>
      </w:r>
      <w:r>
        <w:rPr>
          <w:rFonts w:ascii="仿宋_GB2312" w:hAnsi="仿宋_GB2312" w:eastAsia="仿宋_GB2312" w:cs="仿宋_GB2312"/>
          <w:color w:val="000000"/>
          <w:kern w:val="0"/>
          <w:sz w:val="31"/>
          <w:szCs w:val="31"/>
          <w:lang w:bidi="ar"/>
        </w:rPr>
        <w:t xml:space="preserve">协助组织。 </w:t>
      </w:r>
    </w:p>
    <w:p w14:paraId="3577B10E">
      <w:pPr>
        <w:widowControl/>
        <w:spacing w:line="240" w:lineRule="atLeast"/>
        <w:ind w:firstLine="620" w:firstLineChars="200"/>
        <w:jc w:val="left"/>
        <w:rPr>
          <w:rFonts w:ascii="Times New Roman" w:hAnsi="Times New Roman"/>
        </w:rPr>
      </w:pPr>
      <w:r>
        <w:rPr>
          <w:rFonts w:ascii="仿宋_GB2312" w:hAnsi="仿宋_GB2312" w:eastAsia="仿宋_GB2312" w:cs="仿宋_GB2312"/>
          <w:color w:val="000000"/>
          <w:kern w:val="0"/>
          <w:sz w:val="31"/>
          <w:szCs w:val="31"/>
          <w:lang w:bidi="ar"/>
        </w:rPr>
        <w:t xml:space="preserve">（二）院外会诊 </w:t>
      </w:r>
    </w:p>
    <w:p w14:paraId="1FED4BAA">
      <w:pPr>
        <w:widowControl/>
        <w:spacing w:line="240" w:lineRule="atLeast"/>
        <w:ind w:firstLine="620" w:firstLineChars="200"/>
        <w:jc w:val="left"/>
        <w:rPr>
          <w:rFonts w:ascii="仿宋_GB2312" w:hAnsi="仿宋_GB2312" w:eastAsia="仿宋_GB2312" w:cs="仿宋_GB2312"/>
          <w:b/>
          <w:bCs/>
          <w:color w:val="000000"/>
          <w:kern w:val="0"/>
          <w:sz w:val="31"/>
          <w:szCs w:val="31"/>
          <w:lang w:bidi="ar"/>
        </w:rPr>
      </w:pPr>
      <w:r>
        <w:rPr>
          <w:rFonts w:hint="eastAsia" w:ascii="仿宋_GB2312" w:hAnsi="仿宋_GB2312" w:eastAsia="仿宋_GB2312" w:cs="仿宋_GB2312"/>
          <w:color w:val="000000"/>
          <w:kern w:val="0"/>
          <w:sz w:val="31"/>
          <w:szCs w:val="31"/>
          <w:lang w:bidi="ar"/>
        </w:rPr>
        <w:t>院外会诊</w:t>
      </w:r>
      <w:r>
        <w:rPr>
          <w:rFonts w:ascii="仿宋_GB2312" w:hAnsi="仿宋_GB2312" w:eastAsia="仿宋_GB2312" w:cs="仿宋_GB2312"/>
          <w:color w:val="000000"/>
          <w:kern w:val="0"/>
          <w:sz w:val="31"/>
          <w:szCs w:val="31"/>
          <w:lang w:bidi="ar"/>
        </w:rPr>
        <w:t>应当严格遵照国家有关规定执行。本院不能诊治的疑难病例，经科主任同意，由科室填写会诊邀请书，经</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同意，通知被邀请医院</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 xml:space="preserve">，协商会诊时间及会诊医师。由被邀请医师书写会诊记录。 </w:t>
      </w:r>
    </w:p>
    <w:p w14:paraId="24F8C72D">
      <w:pPr>
        <w:widowControl/>
        <w:spacing w:after="360" w:line="240" w:lineRule="atLeast"/>
        <w:ind w:firstLine="622" w:firstLineChars="200"/>
        <w:jc w:val="center"/>
        <w:rPr>
          <w:rFonts w:ascii="仿宋_GB2312" w:hAnsi="仿宋_GB2312" w:eastAsia="仿宋_GB2312" w:cs="仿宋_GB2312"/>
          <w:b/>
          <w:bCs/>
          <w:color w:val="000000"/>
          <w:kern w:val="0"/>
          <w:sz w:val="31"/>
          <w:szCs w:val="31"/>
          <w:lang w:bidi="ar"/>
        </w:rPr>
      </w:pPr>
      <w:r>
        <w:rPr>
          <w:rFonts w:ascii="仿宋_GB2312" w:hAnsi="仿宋_GB2312" w:eastAsia="仿宋_GB2312" w:cs="仿宋_GB2312"/>
          <w:b/>
          <w:bCs/>
          <w:color w:val="000000"/>
          <w:kern w:val="0"/>
          <w:sz w:val="31"/>
          <w:szCs w:val="31"/>
          <w:lang w:bidi="ar"/>
        </w:rPr>
        <w:t>第</w:t>
      </w:r>
      <w:r>
        <w:rPr>
          <w:rFonts w:hint="eastAsia" w:ascii="仿宋_GB2312" w:hAnsi="仿宋_GB2312" w:eastAsia="仿宋_GB2312" w:cs="仿宋_GB2312"/>
          <w:b/>
          <w:bCs/>
          <w:color w:val="000000"/>
          <w:kern w:val="0"/>
          <w:sz w:val="31"/>
          <w:szCs w:val="31"/>
          <w:lang w:bidi="ar"/>
        </w:rPr>
        <w:t>三</w:t>
      </w:r>
      <w:r>
        <w:rPr>
          <w:rFonts w:ascii="仿宋_GB2312" w:hAnsi="仿宋_GB2312" w:eastAsia="仿宋_GB2312" w:cs="仿宋_GB2312"/>
          <w:b/>
          <w:bCs/>
          <w:color w:val="000000"/>
          <w:kern w:val="0"/>
          <w:sz w:val="31"/>
          <w:szCs w:val="31"/>
          <w:lang w:bidi="ar"/>
        </w:rPr>
        <w:t>章 附 则</w:t>
      </w:r>
    </w:p>
    <w:p w14:paraId="7C598DED">
      <w:pPr>
        <w:widowControl/>
        <w:spacing w:line="240" w:lineRule="atLeast"/>
        <w:ind w:firstLine="622" w:firstLineChars="200"/>
        <w:jc w:val="left"/>
        <w:rPr>
          <w:rFonts w:ascii="Times New Roman" w:hAnsi="Times New Roman"/>
        </w:rPr>
      </w:pPr>
      <w:r>
        <w:rPr>
          <w:rFonts w:ascii="仿宋_GB2312" w:hAnsi="仿宋_GB2312" w:eastAsia="仿宋_GB2312" w:cs="仿宋_GB2312"/>
          <w:b/>
          <w:bCs/>
          <w:color w:val="000000"/>
          <w:kern w:val="0"/>
          <w:sz w:val="31"/>
          <w:szCs w:val="31"/>
          <w:lang w:bidi="ar"/>
        </w:rPr>
        <w:t>第七条</w:t>
      </w:r>
      <w:r>
        <w:rPr>
          <w:rFonts w:ascii="仿宋_GB2312" w:hAnsi="仿宋_GB2312" w:eastAsia="仿宋_GB2312" w:cs="仿宋_GB2312"/>
          <w:color w:val="000000"/>
          <w:kern w:val="0"/>
          <w:sz w:val="31"/>
          <w:szCs w:val="31"/>
          <w:lang w:bidi="ar"/>
        </w:rPr>
        <w:t xml:space="preserve"> 本制度由</w:t>
      </w:r>
      <w:r>
        <w:rPr>
          <w:rFonts w:hint="eastAsia" w:ascii="仿宋_GB2312" w:hAnsi="仿宋_GB2312" w:eastAsia="仿宋_GB2312" w:cs="仿宋_GB2312"/>
          <w:color w:val="000000"/>
          <w:kern w:val="0"/>
          <w:sz w:val="31"/>
          <w:szCs w:val="31"/>
          <w:lang w:bidi="ar"/>
        </w:rPr>
        <w:t>医务处</w:t>
      </w:r>
      <w:r>
        <w:rPr>
          <w:rFonts w:ascii="仿宋_GB2312" w:hAnsi="仿宋_GB2312" w:eastAsia="仿宋_GB2312" w:cs="仿宋_GB2312"/>
          <w:color w:val="000000"/>
          <w:kern w:val="0"/>
          <w:sz w:val="31"/>
          <w:szCs w:val="31"/>
          <w:lang w:bidi="ar"/>
        </w:rPr>
        <w:t xml:space="preserve">负责解释。 </w:t>
      </w:r>
    </w:p>
    <w:p w14:paraId="7B60A46C">
      <w:pPr>
        <w:widowControl/>
        <w:spacing w:line="240" w:lineRule="atLeast"/>
        <w:ind w:firstLine="622" w:firstLineChars="200"/>
        <w:jc w:val="left"/>
        <w:rPr>
          <w:rFonts w:ascii="仿宋_GB2312" w:hAnsi="仿宋_GB2312" w:eastAsia="仿宋_GB2312" w:cs="仿宋_GB2312"/>
          <w:color w:val="000000"/>
          <w:kern w:val="0"/>
          <w:sz w:val="31"/>
          <w:szCs w:val="31"/>
          <w:lang w:bidi="ar"/>
        </w:rPr>
      </w:pPr>
      <w:r>
        <w:rPr>
          <w:rFonts w:ascii="仿宋_GB2312" w:hAnsi="仿宋_GB2312" w:eastAsia="仿宋_GB2312" w:cs="仿宋_GB2312"/>
          <w:b/>
          <w:bCs/>
          <w:color w:val="000000"/>
          <w:kern w:val="0"/>
          <w:sz w:val="31"/>
          <w:szCs w:val="31"/>
          <w:lang w:bidi="ar"/>
        </w:rPr>
        <w:t>第八条</w:t>
      </w:r>
      <w:r>
        <w:rPr>
          <w:rFonts w:ascii="仿宋_GB2312" w:hAnsi="仿宋_GB2312" w:eastAsia="仿宋_GB2312" w:cs="仿宋_GB2312"/>
          <w:color w:val="000000"/>
          <w:kern w:val="0"/>
          <w:sz w:val="31"/>
          <w:szCs w:val="31"/>
          <w:lang w:bidi="ar"/>
        </w:rPr>
        <w:t xml:space="preserve"> 本制度自发布之日起施行。</w:t>
      </w:r>
      <w:r>
        <w:rPr>
          <w:rFonts w:ascii="仿宋_GB2312" w:hAnsi="仿宋_GB2312" w:eastAsia="仿宋_GB2312" w:cs="仿宋_GB2312"/>
          <w:color w:val="000000"/>
          <w:kern w:val="0"/>
          <w:sz w:val="31"/>
          <w:szCs w:val="31"/>
          <w:lang w:bidi="ar"/>
        </w:rPr>
        <w:br w:type="page"/>
      </w:r>
      <w:r>
        <w:rPr>
          <w:rFonts w:ascii="仿宋_GB2312" w:hAnsi="仿宋_GB2312" w:eastAsia="仿宋_GB2312" w:cs="仿宋_GB2312"/>
          <w:color w:val="000000"/>
          <w:kern w:val="0"/>
          <w:sz w:val="31"/>
          <w:szCs w:val="31"/>
          <w:lang w:bidi="ar"/>
        </w:rPr>
        <w:t>附件1</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 xml:space="preserve"> 院内普通会诊流程图</w:t>
      </w:r>
    </w:p>
    <w:p w14:paraId="271B8DA9">
      <w:pPr>
        <w:widowControl/>
        <w:spacing w:line="240" w:lineRule="atLeast"/>
        <w:jc w:val="left"/>
        <w:rPr>
          <w:rFonts w:ascii="Times New Roman" w:hAnsi="Times New Roman"/>
        </w:rPr>
      </w:pPr>
      <w:r>
        <w:drawing>
          <wp:inline distT="0" distB="0" distL="114300" distR="114300">
            <wp:extent cx="5269865" cy="598868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5269865" cy="5988685"/>
                    </a:xfrm>
                    <a:prstGeom prst="rect">
                      <a:avLst/>
                    </a:prstGeom>
                    <a:noFill/>
                    <a:ln>
                      <a:noFill/>
                    </a:ln>
                  </pic:spPr>
                </pic:pic>
              </a:graphicData>
            </a:graphic>
          </wp:inline>
        </w:drawing>
      </w:r>
    </w:p>
    <w:p w14:paraId="6F931CD2">
      <w:pPr>
        <w:widowControl/>
        <w:spacing w:line="240" w:lineRule="atLeast"/>
        <w:jc w:val="left"/>
        <w:rPr>
          <w:rFonts w:ascii="Times New Roman" w:hAnsi="Times New Roman"/>
        </w:rPr>
      </w:pPr>
    </w:p>
    <w:p w14:paraId="6950691C">
      <w:pPr>
        <w:widowControl/>
        <w:spacing w:line="240" w:lineRule="atLeast"/>
        <w:jc w:val="left"/>
        <w:rPr>
          <w:rFonts w:ascii="Times New Roman" w:hAnsi="Times New Roman"/>
        </w:rPr>
      </w:pPr>
    </w:p>
    <w:p w14:paraId="13D6B77A">
      <w:pPr>
        <w:widowControl/>
        <w:spacing w:line="240" w:lineRule="atLeast"/>
        <w:jc w:val="left"/>
        <w:rPr>
          <w:rFonts w:ascii="Times New Roman" w:hAnsi="Times New Roman"/>
        </w:rPr>
      </w:pPr>
    </w:p>
    <w:p w14:paraId="01FA1C2F">
      <w:pPr>
        <w:widowControl/>
        <w:spacing w:line="240" w:lineRule="atLeast"/>
        <w:jc w:val="left"/>
        <w:rPr>
          <w:rFonts w:ascii="Times New Roman" w:hAnsi="Times New Roman"/>
        </w:rPr>
      </w:pPr>
    </w:p>
    <w:p w14:paraId="5B80FBB9">
      <w:pPr>
        <w:widowControl/>
        <w:spacing w:line="240" w:lineRule="atLeast"/>
        <w:jc w:val="left"/>
        <w:rPr>
          <w:rFonts w:ascii="Times New Roman" w:hAnsi="Times New Roman"/>
        </w:rPr>
      </w:pPr>
    </w:p>
    <w:p w14:paraId="3D25F2CA">
      <w:pPr>
        <w:widowControl/>
        <w:spacing w:line="240" w:lineRule="atLeast"/>
        <w:jc w:val="left"/>
        <w:rPr>
          <w:rFonts w:ascii="Times New Roman" w:hAnsi="Times New Roman"/>
        </w:rPr>
      </w:pPr>
    </w:p>
    <w:p w14:paraId="3F5D3EFC">
      <w:pPr>
        <w:widowControl/>
        <w:spacing w:line="240" w:lineRule="atLeast"/>
        <w:jc w:val="left"/>
        <w:rPr>
          <w:rFonts w:ascii="仿宋_GB2312" w:hAnsi="仿宋_GB2312" w:eastAsia="仿宋_GB2312" w:cs="仿宋_GB2312"/>
          <w:color w:val="000000"/>
          <w:kern w:val="0"/>
          <w:sz w:val="31"/>
          <w:szCs w:val="31"/>
          <w:lang w:bidi="ar"/>
        </w:rPr>
      </w:pPr>
    </w:p>
    <w:p w14:paraId="4EEB56C3">
      <w:pPr>
        <w:widowControl/>
        <w:spacing w:line="240" w:lineRule="atLeast"/>
        <w:jc w:val="left"/>
        <w:rPr>
          <w:rFonts w:ascii="仿宋_GB2312" w:hAnsi="仿宋_GB2312" w:eastAsia="仿宋_GB2312" w:cs="仿宋_GB2312"/>
          <w:color w:val="000000"/>
          <w:kern w:val="0"/>
          <w:sz w:val="31"/>
          <w:szCs w:val="31"/>
          <w:lang w:bidi="ar"/>
        </w:rPr>
      </w:pPr>
    </w:p>
    <w:p w14:paraId="79379BD8">
      <w:pPr>
        <w:widowControl/>
        <w:spacing w:line="240" w:lineRule="atLeast"/>
        <w:jc w:val="left"/>
        <w:rPr>
          <w:rFonts w:ascii="仿宋_GB2312" w:hAnsi="仿宋_GB2312" w:eastAsia="仿宋_GB2312" w:cs="仿宋_GB2312"/>
          <w:color w:val="000000"/>
          <w:kern w:val="0"/>
          <w:sz w:val="31"/>
          <w:szCs w:val="31"/>
          <w:lang w:bidi="ar"/>
        </w:rPr>
      </w:pPr>
    </w:p>
    <w:p w14:paraId="49C5039D">
      <w:pPr>
        <w:widowControl/>
        <w:spacing w:line="240" w:lineRule="atLeast"/>
        <w:jc w:val="left"/>
        <w:rPr>
          <w:rFonts w:ascii="Times New Roman" w:hAnsi="Times New Roman"/>
        </w:rPr>
      </w:pPr>
      <w:r>
        <w:rPr>
          <w:rFonts w:ascii="仿宋_GB2312" w:hAnsi="仿宋_GB2312" w:eastAsia="仿宋_GB2312" w:cs="仿宋_GB2312"/>
          <w:color w:val="000000"/>
          <w:kern w:val="0"/>
          <w:sz w:val="31"/>
          <w:szCs w:val="31"/>
          <w:lang w:bidi="ar"/>
        </w:rPr>
        <w:t>附件 2</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 xml:space="preserve"> </w:t>
      </w:r>
      <w:r>
        <w:rPr>
          <w:rFonts w:ascii="仿宋_GB2312" w:hAnsi="仿宋_GB2312" w:eastAsia="仿宋_GB2312" w:cs="仿宋_GB2312"/>
          <w:b/>
          <w:bCs/>
          <w:color w:val="000000"/>
          <w:kern w:val="0"/>
          <w:sz w:val="31"/>
          <w:szCs w:val="31"/>
          <w:lang w:bidi="ar"/>
        </w:rPr>
        <w:t>院内急会诊流程图</w:t>
      </w:r>
    </w:p>
    <w:p w14:paraId="6F548FAE">
      <w:pPr>
        <w:widowControl/>
        <w:spacing w:line="240" w:lineRule="atLeast"/>
        <w:jc w:val="left"/>
        <w:rPr>
          <w:rFonts w:ascii="Times New Roman" w:hAnsi="Times New Roman"/>
        </w:rPr>
      </w:pPr>
      <w:r>
        <w:drawing>
          <wp:inline distT="0" distB="0" distL="114300" distR="114300">
            <wp:extent cx="5274310" cy="611124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5"/>
                    <a:stretch>
                      <a:fillRect/>
                    </a:stretch>
                  </pic:blipFill>
                  <pic:spPr>
                    <a:xfrm>
                      <a:off x="0" y="0"/>
                      <a:ext cx="5274310" cy="6111240"/>
                    </a:xfrm>
                    <a:prstGeom prst="rect">
                      <a:avLst/>
                    </a:prstGeom>
                    <a:noFill/>
                    <a:ln>
                      <a:noFill/>
                    </a:ln>
                  </pic:spPr>
                </pic:pic>
              </a:graphicData>
            </a:graphic>
          </wp:inline>
        </w:drawing>
      </w:r>
    </w:p>
    <w:p w14:paraId="333DBD8D">
      <w:pPr>
        <w:widowControl/>
        <w:spacing w:line="240" w:lineRule="atLeast"/>
        <w:jc w:val="left"/>
        <w:rPr>
          <w:rFonts w:ascii="仿宋_GB2312" w:hAnsi="仿宋_GB2312" w:eastAsia="仿宋_GB2312" w:cs="仿宋_GB2312"/>
          <w:color w:val="000000"/>
          <w:kern w:val="0"/>
          <w:sz w:val="31"/>
          <w:szCs w:val="31"/>
          <w:lang w:bidi="ar"/>
        </w:rPr>
      </w:pPr>
    </w:p>
    <w:p w14:paraId="7C86BD54">
      <w:pPr>
        <w:widowControl/>
        <w:spacing w:line="240" w:lineRule="atLeast"/>
        <w:jc w:val="left"/>
        <w:rPr>
          <w:rFonts w:ascii="仿宋_GB2312" w:hAnsi="仿宋_GB2312" w:eastAsia="仿宋_GB2312" w:cs="仿宋_GB2312"/>
          <w:color w:val="000000"/>
          <w:kern w:val="0"/>
          <w:sz w:val="31"/>
          <w:szCs w:val="31"/>
          <w:lang w:bidi="ar"/>
        </w:rPr>
      </w:pPr>
    </w:p>
    <w:p w14:paraId="3CF117D6">
      <w:pPr>
        <w:widowControl/>
        <w:spacing w:line="240" w:lineRule="atLeast"/>
        <w:jc w:val="left"/>
        <w:rPr>
          <w:rFonts w:ascii="仿宋_GB2312" w:hAnsi="仿宋_GB2312" w:eastAsia="仿宋_GB2312" w:cs="仿宋_GB2312"/>
          <w:color w:val="000000"/>
          <w:kern w:val="0"/>
          <w:sz w:val="31"/>
          <w:szCs w:val="31"/>
          <w:lang w:bidi="ar"/>
        </w:rPr>
      </w:pPr>
    </w:p>
    <w:p w14:paraId="075975CC">
      <w:pPr>
        <w:widowControl/>
        <w:spacing w:line="240" w:lineRule="atLeast"/>
        <w:jc w:val="left"/>
        <w:rPr>
          <w:rFonts w:ascii="仿宋_GB2312" w:hAnsi="仿宋_GB2312" w:eastAsia="仿宋_GB2312" w:cs="仿宋_GB2312"/>
          <w:color w:val="000000"/>
          <w:kern w:val="0"/>
          <w:sz w:val="31"/>
          <w:szCs w:val="31"/>
          <w:lang w:bidi="ar"/>
        </w:rPr>
      </w:pPr>
    </w:p>
    <w:p w14:paraId="67BB0A8E">
      <w:pPr>
        <w:widowControl/>
        <w:spacing w:line="240" w:lineRule="atLeast"/>
        <w:jc w:val="left"/>
        <w:rPr>
          <w:rFonts w:ascii="仿宋_GB2312" w:hAnsi="仿宋_GB2312" w:eastAsia="仿宋_GB2312" w:cs="仿宋_GB2312"/>
          <w:color w:val="000000"/>
          <w:kern w:val="0"/>
          <w:sz w:val="31"/>
          <w:szCs w:val="31"/>
          <w:lang w:bidi="ar"/>
        </w:rPr>
      </w:pPr>
    </w:p>
    <w:p w14:paraId="727803E9">
      <w:pPr>
        <w:widowControl/>
        <w:spacing w:line="240" w:lineRule="atLeast"/>
        <w:jc w:val="left"/>
        <w:rPr>
          <w:rFonts w:ascii="仿宋_GB2312" w:hAnsi="仿宋_GB2312" w:eastAsia="仿宋_GB2312" w:cs="仿宋_GB2312"/>
          <w:color w:val="000000"/>
          <w:kern w:val="0"/>
          <w:sz w:val="31"/>
          <w:szCs w:val="31"/>
          <w:lang w:bidi="ar"/>
        </w:rPr>
      </w:pPr>
    </w:p>
    <w:p w14:paraId="20E121EA">
      <w:pPr>
        <w:widowControl/>
        <w:spacing w:line="240" w:lineRule="atLeast"/>
        <w:jc w:val="left"/>
        <w:rPr>
          <w:rFonts w:ascii="仿宋_GB2312" w:hAnsi="仿宋_GB2312" w:eastAsia="仿宋_GB2312" w:cs="仿宋_GB2312"/>
          <w:color w:val="000000"/>
          <w:kern w:val="0"/>
          <w:sz w:val="31"/>
          <w:szCs w:val="31"/>
          <w:lang w:bidi="ar"/>
        </w:rPr>
      </w:pPr>
      <w:r>
        <w:rPr>
          <w:rFonts w:ascii="仿宋_GB2312" w:hAnsi="仿宋_GB2312" w:eastAsia="仿宋_GB2312" w:cs="仿宋_GB2312"/>
          <w:color w:val="000000"/>
          <w:kern w:val="0"/>
          <w:sz w:val="31"/>
          <w:szCs w:val="31"/>
          <w:lang w:bidi="ar"/>
        </w:rPr>
        <w:t>附件3</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 xml:space="preserve"> 院内多学科会诊流程图(含全院会诊)</w:t>
      </w:r>
    </w:p>
    <w:p w14:paraId="2C704139">
      <w:pPr>
        <w:widowControl/>
        <w:spacing w:line="240" w:lineRule="atLeast"/>
        <w:jc w:val="left"/>
        <w:rPr>
          <w:rFonts w:ascii="Times New Roman" w:hAnsi="Times New Roman"/>
        </w:rPr>
      </w:pPr>
      <w:r>
        <w:drawing>
          <wp:inline distT="0" distB="0" distL="114300" distR="114300">
            <wp:extent cx="5274310" cy="6522085"/>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6"/>
                    <a:stretch>
                      <a:fillRect/>
                    </a:stretch>
                  </pic:blipFill>
                  <pic:spPr>
                    <a:xfrm>
                      <a:off x="0" y="0"/>
                      <a:ext cx="5274310" cy="6522085"/>
                    </a:xfrm>
                    <a:prstGeom prst="rect">
                      <a:avLst/>
                    </a:prstGeom>
                    <a:noFill/>
                    <a:ln>
                      <a:noFill/>
                    </a:ln>
                  </pic:spPr>
                </pic:pic>
              </a:graphicData>
            </a:graphic>
          </wp:inline>
        </w:drawing>
      </w:r>
    </w:p>
    <w:p w14:paraId="179304BE">
      <w:pPr>
        <w:widowControl/>
        <w:spacing w:line="240" w:lineRule="atLeast"/>
        <w:jc w:val="left"/>
        <w:rPr>
          <w:rFonts w:ascii="Times New Roman" w:hAnsi="Times New Roman"/>
        </w:rPr>
      </w:pPr>
    </w:p>
    <w:p w14:paraId="62CEC2FC">
      <w:pPr>
        <w:widowControl/>
        <w:spacing w:line="240" w:lineRule="atLeast"/>
        <w:jc w:val="left"/>
        <w:rPr>
          <w:rFonts w:ascii="Times New Roman" w:hAnsi="Times New Roman"/>
        </w:rPr>
      </w:pPr>
    </w:p>
    <w:p w14:paraId="771AAEE7">
      <w:pPr>
        <w:widowControl/>
        <w:spacing w:line="240" w:lineRule="atLeast"/>
        <w:jc w:val="left"/>
        <w:rPr>
          <w:rFonts w:ascii="Times New Roman" w:hAnsi="Times New Roman"/>
        </w:rPr>
      </w:pPr>
    </w:p>
    <w:p w14:paraId="742DD5FC">
      <w:pPr>
        <w:widowControl/>
        <w:spacing w:line="240" w:lineRule="atLeast"/>
        <w:jc w:val="left"/>
        <w:rPr>
          <w:rFonts w:ascii="Times New Roman" w:hAnsi="Times New Roman"/>
        </w:rPr>
      </w:pPr>
    </w:p>
    <w:p w14:paraId="5B195498">
      <w:pPr>
        <w:widowControl/>
        <w:spacing w:line="240" w:lineRule="atLeast"/>
        <w:jc w:val="left"/>
        <w:rPr>
          <w:rFonts w:ascii="仿宋_GB2312" w:hAnsi="仿宋_GB2312" w:eastAsia="仿宋_GB2312" w:cs="仿宋_GB2312"/>
          <w:color w:val="000000"/>
          <w:kern w:val="0"/>
          <w:sz w:val="31"/>
          <w:szCs w:val="31"/>
          <w:lang w:bidi="ar"/>
        </w:rPr>
      </w:pPr>
    </w:p>
    <w:p w14:paraId="08891995">
      <w:pPr>
        <w:widowControl/>
        <w:spacing w:line="240" w:lineRule="atLeast"/>
        <w:jc w:val="left"/>
        <w:rPr>
          <w:rFonts w:ascii="仿宋_GB2312" w:hAnsi="仿宋_GB2312" w:eastAsia="仿宋_GB2312" w:cs="仿宋_GB2312"/>
          <w:color w:val="000000"/>
          <w:kern w:val="0"/>
          <w:sz w:val="31"/>
          <w:szCs w:val="31"/>
          <w:lang w:bidi="ar"/>
        </w:rPr>
      </w:pPr>
    </w:p>
    <w:p w14:paraId="18F95219">
      <w:pPr>
        <w:widowControl/>
        <w:spacing w:line="240" w:lineRule="atLeast"/>
        <w:jc w:val="left"/>
        <w:rPr>
          <w:rFonts w:ascii="仿宋_GB2312" w:hAnsi="仿宋_GB2312" w:eastAsia="仿宋_GB2312" w:cs="仿宋_GB2312"/>
          <w:color w:val="000000"/>
          <w:kern w:val="0"/>
          <w:sz w:val="31"/>
          <w:szCs w:val="31"/>
          <w:lang w:bidi="ar"/>
        </w:rPr>
      </w:pPr>
    </w:p>
    <w:p w14:paraId="5DFB0910">
      <w:pPr>
        <w:widowControl/>
        <w:spacing w:line="240" w:lineRule="atLeast"/>
        <w:jc w:val="left"/>
        <w:rPr>
          <w:rFonts w:ascii="仿宋_GB2312" w:hAnsi="仿宋_GB2312" w:eastAsia="仿宋_GB2312" w:cs="仿宋_GB2312"/>
          <w:color w:val="000000"/>
          <w:kern w:val="0"/>
          <w:sz w:val="31"/>
          <w:szCs w:val="31"/>
          <w:lang w:bidi="ar"/>
        </w:rPr>
      </w:pPr>
      <w:r>
        <w:rPr>
          <w:rFonts w:ascii="仿宋_GB2312" w:hAnsi="仿宋_GB2312" w:eastAsia="仿宋_GB2312" w:cs="仿宋_GB2312"/>
          <w:color w:val="000000"/>
          <w:kern w:val="0"/>
          <w:sz w:val="31"/>
          <w:szCs w:val="31"/>
          <w:lang w:bidi="ar"/>
        </w:rPr>
        <w:t>附件4</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 xml:space="preserve"> 邀请院外专家会诊流程图</w:t>
      </w:r>
    </w:p>
    <w:p w14:paraId="037144A6">
      <w:pPr>
        <w:widowControl/>
        <w:spacing w:line="240" w:lineRule="atLeast"/>
        <w:jc w:val="left"/>
        <w:rPr>
          <w:rFonts w:ascii="Times New Roman" w:hAnsi="Times New Roman"/>
        </w:rPr>
      </w:pPr>
      <w:r>
        <w:drawing>
          <wp:inline distT="0" distB="0" distL="114300" distR="114300">
            <wp:extent cx="5274310" cy="53422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4310" cy="5342255"/>
                    </a:xfrm>
                    <a:prstGeom prst="rect">
                      <a:avLst/>
                    </a:prstGeom>
                    <a:noFill/>
                    <a:ln>
                      <a:noFill/>
                    </a:ln>
                  </pic:spPr>
                </pic:pic>
              </a:graphicData>
            </a:graphic>
          </wp:inline>
        </w:drawing>
      </w:r>
    </w:p>
    <w:p w14:paraId="08D8CAB4">
      <w:pPr>
        <w:widowControl/>
        <w:spacing w:line="240" w:lineRule="atLeast"/>
        <w:jc w:val="left"/>
        <w:rPr>
          <w:rFonts w:ascii="Times New Roman" w:hAnsi="Times New Roman"/>
        </w:rPr>
      </w:pPr>
    </w:p>
    <w:p w14:paraId="565EA937">
      <w:pPr>
        <w:widowControl/>
        <w:spacing w:line="240" w:lineRule="atLeast"/>
        <w:jc w:val="left"/>
        <w:rPr>
          <w:rFonts w:ascii="Times New Roman" w:hAnsi="Times New Roman"/>
        </w:rPr>
      </w:pPr>
    </w:p>
    <w:p w14:paraId="63E4BC3F">
      <w:pPr>
        <w:widowControl/>
        <w:spacing w:line="240" w:lineRule="atLeast"/>
        <w:jc w:val="left"/>
        <w:rPr>
          <w:rFonts w:ascii="Times New Roman" w:hAnsi="Times New Roman"/>
        </w:rPr>
      </w:pPr>
    </w:p>
    <w:p w14:paraId="6A004FF7">
      <w:pPr>
        <w:widowControl/>
        <w:spacing w:line="240" w:lineRule="atLeast"/>
        <w:jc w:val="left"/>
        <w:rPr>
          <w:rFonts w:ascii="Times New Roman" w:hAnsi="Times New Roman"/>
        </w:rPr>
      </w:pPr>
    </w:p>
    <w:p w14:paraId="66AF3727">
      <w:pPr>
        <w:widowControl/>
        <w:spacing w:line="240" w:lineRule="atLeast"/>
        <w:jc w:val="left"/>
        <w:rPr>
          <w:rFonts w:ascii="Times New Roman" w:hAnsi="Times New Roman"/>
        </w:rPr>
      </w:pPr>
    </w:p>
    <w:p w14:paraId="4E85C7C7">
      <w:pPr>
        <w:widowControl/>
        <w:spacing w:line="240" w:lineRule="atLeast"/>
        <w:jc w:val="left"/>
        <w:rPr>
          <w:rFonts w:ascii="Times New Roman" w:hAnsi="Times New Roman"/>
        </w:rPr>
      </w:pPr>
    </w:p>
    <w:p w14:paraId="3AF9C906">
      <w:pPr>
        <w:widowControl/>
        <w:spacing w:line="240" w:lineRule="atLeast"/>
        <w:jc w:val="left"/>
        <w:rPr>
          <w:rFonts w:ascii="Times New Roman" w:hAnsi="Times New Roman"/>
        </w:rPr>
      </w:pPr>
    </w:p>
    <w:p w14:paraId="2F6B8EA7">
      <w:pPr>
        <w:widowControl/>
        <w:spacing w:line="240" w:lineRule="atLeast"/>
        <w:jc w:val="left"/>
        <w:rPr>
          <w:rFonts w:ascii="Times New Roman" w:hAnsi="Times New Roman"/>
        </w:rPr>
      </w:pPr>
    </w:p>
    <w:p w14:paraId="1B45DCFD">
      <w:pPr>
        <w:widowControl/>
        <w:spacing w:line="240" w:lineRule="atLeast"/>
        <w:jc w:val="left"/>
        <w:rPr>
          <w:rFonts w:ascii="Times New Roman" w:hAnsi="Times New Roman"/>
        </w:rPr>
      </w:pPr>
    </w:p>
    <w:p w14:paraId="6BC41330">
      <w:pPr>
        <w:widowControl/>
        <w:spacing w:line="240" w:lineRule="atLeast"/>
        <w:jc w:val="left"/>
        <w:rPr>
          <w:rFonts w:ascii="Times New Roman" w:hAnsi="Times New Roman"/>
        </w:rPr>
      </w:pPr>
    </w:p>
    <w:p w14:paraId="28E31BF5">
      <w:pPr>
        <w:widowControl/>
        <w:spacing w:line="240" w:lineRule="atLeast"/>
        <w:jc w:val="left"/>
        <w:rPr>
          <w:rFonts w:ascii="Times New Roman" w:hAnsi="Times New Roman"/>
        </w:rPr>
      </w:pPr>
    </w:p>
    <w:p w14:paraId="0FD1C356">
      <w:pPr>
        <w:widowControl/>
        <w:spacing w:line="240" w:lineRule="atLeast"/>
        <w:jc w:val="left"/>
        <w:rPr>
          <w:rFonts w:ascii="Times New Roman" w:hAnsi="Times New Roman"/>
        </w:rPr>
      </w:pPr>
    </w:p>
    <w:p w14:paraId="1D67B693">
      <w:pPr>
        <w:widowControl/>
        <w:spacing w:line="240" w:lineRule="atLeast"/>
        <w:jc w:val="left"/>
        <w:rPr>
          <w:rFonts w:ascii="Times New Roman" w:hAnsi="Times New Roman"/>
        </w:rPr>
      </w:pPr>
    </w:p>
    <w:p w14:paraId="1CE0228B">
      <w:pPr>
        <w:widowControl/>
        <w:spacing w:line="240" w:lineRule="atLeast"/>
        <w:jc w:val="left"/>
        <w:rPr>
          <w:rFonts w:ascii="Times New Roman" w:hAnsi="Times New Roman"/>
        </w:rPr>
      </w:pPr>
    </w:p>
    <w:p w14:paraId="1FDB7642">
      <w:pPr>
        <w:widowControl/>
        <w:spacing w:line="240" w:lineRule="atLeast"/>
        <w:jc w:val="left"/>
        <w:rPr>
          <w:rFonts w:ascii="Times New Roman" w:hAnsi="Times New Roman"/>
        </w:rPr>
      </w:pPr>
    </w:p>
    <w:p w14:paraId="793A2DDC">
      <w:pPr>
        <w:widowControl/>
        <w:spacing w:line="240" w:lineRule="atLeast"/>
        <w:jc w:val="left"/>
        <w:rPr>
          <w:rFonts w:ascii="仿宋_GB2312" w:hAnsi="仿宋_GB2312" w:eastAsia="仿宋_GB2312" w:cs="仿宋_GB2312"/>
          <w:color w:val="000000"/>
          <w:kern w:val="0"/>
          <w:sz w:val="31"/>
          <w:szCs w:val="31"/>
          <w:lang w:bidi="ar"/>
        </w:rPr>
      </w:pPr>
      <w:r>
        <w:rPr>
          <w:rFonts w:ascii="仿宋_GB2312" w:hAnsi="仿宋_GB2312" w:eastAsia="仿宋_GB2312" w:cs="仿宋_GB2312"/>
          <w:color w:val="000000"/>
          <w:kern w:val="0"/>
          <w:sz w:val="31"/>
          <w:szCs w:val="31"/>
          <w:lang w:bidi="ar"/>
        </w:rPr>
        <w:t>附件5</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 xml:space="preserve"> 受邀请至院外机构会诊流程图</w:t>
      </w:r>
      <w:r>
        <w:drawing>
          <wp:inline distT="0" distB="0" distL="114300" distR="114300">
            <wp:extent cx="5274310" cy="53422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4310" cy="5342255"/>
                    </a:xfrm>
                    <a:prstGeom prst="rect">
                      <a:avLst/>
                    </a:prstGeom>
                    <a:noFill/>
                    <a:ln>
                      <a:noFill/>
                    </a:ln>
                  </pic:spPr>
                </pic:pic>
              </a:graphicData>
            </a:graphic>
          </wp:inline>
        </w:drawing>
      </w:r>
    </w:p>
    <w:p w14:paraId="71A5DCD7">
      <w:pPr>
        <w:jc w:val="left"/>
      </w:pPr>
      <w:r>
        <w:rPr>
          <w:rFonts w:ascii="仿宋_GB2312" w:hAnsi="仿宋_GB2312" w:eastAsia="仿宋_GB2312" w:cs="仿宋_GB2312"/>
          <w:color w:val="000000"/>
          <w:kern w:val="0"/>
          <w:sz w:val="31"/>
          <w:szCs w:val="31"/>
          <w:lang w:bidi="ar"/>
        </w:rPr>
        <w:t>附件6</w:t>
      </w:r>
      <w:r>
        <w:rPr>
          <w:rFonts w:hint="eastAsia" w:ascii="仿宋_GB2312" w:hAnsi="仿宋_GB2312" w:eastAsia="仿宋_GB2312" w:cs="仿宋_GB2312"/>
          <w:color w:val="000000"/>
          <w:kern w:val="0"/>
          <w:sz w:val="31"/>
          <w:szCs w:val="31"/>
          <w:lang w:bidi="ar"/>
        </w:rPr>
        <w:t>.</w:t>
      </w:r>
      <w:r>
        <w:rPr>
          <w:rFonts w:ascii="仿宋_GB2312" w:hAnsi="仿宋_GB2312" w:eastAsia="仿宋_GB2312" w:cs="仿宋_GB2312"/>
          <w:color w:val="000000"/>
          <w:kern w:val="0"/>
          <w:sz w:val="31"/>
          <w:szCs w:val="31"/>
          <w:lang w:bidi="ar"/>
        </w:rPr>
        <w:t xml:space="preserve"> 远程会诊流程图</w:t>
      </w:r>
      <w:r>
        <w:drawing>
          <wp:inline distT="0" distB="0" distL="114300" distR="114300">
            <wp:extent cx="5274310" cy="83642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5274310" cy="8364220"/>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1" w:fontKey="{1E3A2E30-DE52-4187-838D-3C1FC4C38605}"/>
  </w:font>
  <w:font w:name="仿宋_GB2312">
    <w:altName w:val="仿宋"/>
    <w:panose1 w:val="02010609030101010101"/>
    <w:charset w:val="86"/>
    <w:family w:val="modern"/>
    <w:pitch w:val="default"/>
    <w:sig w:usb0="00000000" w:usb1="00000000" w:usb2="00000010" w:usb3="00000000" w:csb0="00040000" w:csb1="00000000"/>
    <w:embedRegular r:id="rId2" w:fontKey="{39D4AD99-F255-48A4-803D-29C955716DA3}"/>
  </w:font>
  <w:font w:name="楷体">
    <w:panose1 w:val="02010609060101010101"/>
    <w:charset w:val="86"/>
    <w:family w:val="modern"/>
    <w:pitch w:val="default"/>
    <w:sig w:usb0="800002BF" w:usb1="38CF7CFA" w:usb2="00000016" w:usb3="00000000" w:csb0="00040001" w:csb1="00000000"/>
  </w:font>
  <w:font w:name="方正小标宋_GBK">
    <w:panose1 w:val="02000000000000000000"/>
    <w:charset w:val="86"/>
    <w:family w:val="auto"/>
    <w:pitch w:val="default"/>
    <w:sig w:usb0="A00002BF" w:usb1="38CF7CFA" w:usb2="00082016" w:usb3="00000000" w:csb0="00040001" w:csb1="00000000"/>
    <w:embedRegular r:id="rId3" w:fontKey="{E5B26D49-17C7-4023-9498-62E6389CA1A6}"/>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singleLevel"/>
    <w:tmpl w:val="00000001"/>
    <w:lvl w:ilvl="0" w:tentative="0">
      <w:start w:val="1"/>
      <w:numFmt w:val="decimal"/>
      <w:lvlText w:val="%1."/>
      <w:lvlJc w:val="left"/>
      <w:pPr>
        <w:ind w:left="425" w:hanging="425"/>
      </w:pPr>
      <w:rPr>
        <w:rFonts w:hint="default"/>
        <w:sz w:val="31"/>
        <w:szCs w:val="31"/>
      </w:rPr>
    </w:lvl>
  </w:abstractNum>
  <w:abstractNum w:abstractNumId="1">
    <w:nsid w:val="00000002"/>
    <w:multiLevelType w:val="singleLevel"/>
    <w:tmpl w:val="00000002"/>
    <w:lvl w:ilvl="0" w:tentative="0">
      <w:start w:val="1"/>
      <w:numFmt w:val="decimal"/>
      <w:lvlText w:val="%1."/>
      <w:lvlJc w:val="left"/>
      <w:pPr>
        <w:ind w:left="425" w:hanging="425"/>
      </w:pPr>
      <w:rPr>
        <w:rFonts w:hint="default"/>
        <w:sz w:val="31"/>
        <w:szCs w:val="31"/>
      </w:rPr>
    </w:lvl>
  </w:abstractNum>
  <w:abstractNum w:abstractNumId="2">
    <w:nsid w:val="00000003"/>
    <w:multiLevelType w:val="singleLevel"/>
    <w:tmpl w:val="00000003"/>
    <w:lvl w:ilvl="0" w:tentative="0">
      <w:start w:val="1"/>
      <w:numFmt w:val="decimal"/>
      <w:lvlText w:val="%1."/>
      <w:lvlJc w:val="left"/>
      <w:pPr>
        <w:ind w:left="425" w:hanging="425"/>
      </w:pPr>
      <w:rPr>
        <w:rFonts w:hint="default"/>
        <w:sz w:val="31"/>
        <w:szCs w:val="31"/>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93037F"/>
    <w:rsid w:val="5E9303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Indent"/>
    <w:basedOn w:val="1"/>
    <w:qFormat/>
    <w:uiPriority w:val="99"/>
    <w:pPr>
      <w:spacing w:line="240" w:lineRule="atLeast"/>
      <w:ind w:firstLine="420" w:firstLineChars="200"/>
    </w:pPr>
    <w:rPr>
      <w:rFonts w:ascii="Times New Roman" w:hAnsi="Times New Roman" w:eastAsia="仿宋_GB2312"/>
      <w:sz w:val="32"/>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0</Words>
  <Characters>0</Characters>
  <Lines>0</Lines>
  <Paragraphs>0</Paragraphs>
  <TotalTime>0</TotalTime>
  <ScaleCrop>false</ScaleCrop>
  <LinksUpToDate>false</LinksUpToDate>
  <CharactersWithSpaces>0</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2025-06-11T07:30:00Z</dcterms:created>
  <dc:creator>杨宇博</dc:creator>
  <cp:lastModifiedBy>杨宇博</cp:lastModifiedBy>
  <dcterms:modified xsi:type="dcterms:W3CDTF">2025-06-11T07:30:59Z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EEF404727B3E4705889842B07ED23FC5_11</vt:lpwstr>
  </property>
  <property fmtid="{D5CDD505-2E9C-101B-9397-08002B2CF9AE}" pid="4" name="KSOTemplateDocerSaveRecord">
    <vt:lpwstr>eyJoZGlkIjoiZjg0M2IwMGIxZGRiNWZhNzY3NTNkZTFhM2RmYTUyYjAiLCJ1c2VySWQiOiIyMDg2NTk0NTUifQ==</vt:lpwstr>
  </property>
</Properties>
</file>