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16754">
      <w:pPr>
        <w:pStyle w:val="2"/>
        <w:ind w:firstLine="0" w:firstLineChars="0"/>
        <w:jc w:val="left"/>
        <w:rPr>
          <w:rFonts w:ascii="仿宋_GB2312" w:hAnsi="楷体" w:cs="楷体"/>
        </w:rPr>
      </w:pPr>
      <w:bookmarkStart w:id="0" w:name="_Hlk171248156"/>
      <w:bookmarkEnd w:id="0"/>
      <w:bookmarkStart w:id="1" w:name="OLE_LINK8"/>
      <w:bookmarkStart w:id="2" w:name="OLE_LINK7"/>
      <w:r>
        <w:rPr>
          <w:rFonts w:hint="eastAsia" w:ascii="仿宋_GB2312" w:hAnsi="楷体" w:cs="楷体"/>
        </w:rPr>
        <w:t>附件</w:t>
      </w:r>
      <w:r>
        <w:rPr>
          <w:rFonts w:ascii="仿宋_GB2312" w:hAnsi="楷体" w:cs="楷体"/>
        </w:rPr>
        <w:t>6</w:t>
      </w:r>
      <w:r>
        <w:rPr>
          <w:rFonts w:hint="eastAsia" w:ascii="仿宋_GB2312" w:hAnsi="楷体" w:cs="楷体"/>
        </w:rPr>
        <w:t>：</w:t>
      </w:r>
    </w:p>
    <w:bookmarkEnd w:id="1"/>
    <w:bookmarkEnd w:id="2"/>
    <w:p w14:paraId="0285D7AA">
      <w:pPr>
        <w:keepNext/>
        <w:keepLines/>
        <w:spacing w:before="260" w:after="260" w:line="240" w:lineRule="atLeast"/>
        <w:jc w:val="center"/>
        <w:outlineLvl w:val="1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bookmarkStart w:id="3" w:name="_GoBack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北京电力医院疑难病例讨论制度</w:t>
      </w:r>
    </w:p>
    <w:bookmarkEnd w:id="3"/>
    <w:p w14:paraId="646FDCA4">
      <w:pPr>
        <w:widowControl/>
        <w:spacing w:after="360" w:line="240" w:lineRule="atLeast"/>
        <w:jc w:val="center"/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第一章 总 则</w:t>
      </w:r>
    </w:p>
    <w:p w14:paraId="3F6F2260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第一条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疑难病例讨论制度指为尽早明确诊断或完善诊疗方案，对诊断或治疗存在疑难问题的病例进行讨论的制度。 </w:t>
      </w:r>
    </w:p>
    <w:p w14:paraId="2214A4B4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第二条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本制度适用于医院所有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临床医技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科室。 </w:t>
      </w:r>
    </w:p>
    <w:p w14:paraId="09145D71">
      <w:pPr>
        <w:widowControl/>
        <w:spacing w:after="360" w:line="240" w:lineRule="atLeast"/>
        <w:jc w:val="center"/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 xml:space="preserve">第二章 管理要求 </w:t>
      </w:r>
    </w:p>
    <w:p w14:paraId="04031ED4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第三条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医院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疑难病例的范围，包括但不限于出现以下情形的患者：没有明确诊断或诊疗方案难以确定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；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疾病在应有明确疗效的周期内未能达到预期疗效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；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非计划再次住院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、再次重返重症医学科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和非计划再次手术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；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住院超过30天（康复科患者除外）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；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科室内开展的第一例新技术/新项目病例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，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出现可能危及生命或造成器官功能严重损害的并发症等。 </w:t>
      </w:r>
    </w:p>
    <w:p w14:paraId="4D3BBA47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第四条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临床科室应当在本院疑难病例识别基本指征范围的基础上，根据专业学科特点和诊疗常规，进一步细化、明确本科室的疑难病例识别标准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，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并通过医疗质量管理小组讨论通过。 </w:t>
      </w:r>
    </w:p>
    <w:p w14:paraId="2ACD9CBC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第五条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凡遇确诊困难或疗效不确切病例，必须进行疑难病例讨论。 </w:t>
      </w:r>
    </w:p>
    <w:p w14:paraId="77224DC7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第六条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疑难病例讨论，须做详细记录并留存原始记录，包括时间、地点、主持人及参加人员的姓名和专业技术职称、个人发言、最后结论、记录者的姓名及签名，主持人需审核并签字。讨论内容应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按照医院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疑难病例讨论记录的统一格式和模板专册记录。疑难病例讨论结论记录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应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记入病历。</w:t>
      </w:r>
    </w:p>
    <w:p w14:paraId="59A7B86D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第七条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参加疑难病例讨论成员中应当至少有2人具有主治及以上专业技术职务任职资格。 </w:t>
      </w:r>
    </w:p>
    <w:p w14:paraId="52E479CC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第八条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患者病情复杂、症状体征超出本科常见症状体征范围、需要多学科共同参与的，或有机构外人员参加的，应由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医务处组织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；解决疑难病例所需要的诊疗能力或医疗设备条件，超出本科室或本医疗机构的诊疗范围或能力范围，应邀请相关科室或医疗机构人员参加。 </w:t>
      </w:r>
    </w:p>
    <w:p w14:paraId="67F11FD5">
      <w:pPr>
        <w:widowControl/>
        <w:spacing w:line="240" w:lineRule="atLeast"/>
        <w:ind w:firstLine="620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（一）需要多学科共同参与的或有机构外人员参加的：由科室向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医务处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提出，由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医务处组织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，确定病例讨论的时间、地点、参加人员、讨论目的、注意事项等，并提前通知相关科室作好充分准备。 </w:t>
      </w:r>
    </w:p>
    <w:p w14:paraId="1A313770">
      <w:pPr>
        <w:widowControl/>
        <w:spacing w:line="240" w:lineRule="atLeast"/>
        <w:ind w:firstLine="620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(二）科内病例讨论：原则上应由科主任主持，全科人员参加；科主任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出差或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请假，由其指定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的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科室负责人承担疑难病例讨论主持职责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，并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>向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医务处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备案。 </w:t>
      </w:r>
    </w:p>
    <w:p w14:paraId="36E96719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第九条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疑难病例讨论时由主管医师汇报病历，提出当前诊断、诊断依据、初步治疗方案；主治医师发表意见；各级医师自下而上依次发表意见；主持者作总结性发言，最终确定诊疗方案。其他专业人员或其他医疗机构参加讨论的人员，可根据主持人安排，就本专业的情况发表意见。 </w:t>
      </w:r>
    </w:p>
    <w:p w14:paraId="442C81C4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第十条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疑难病例讨论频次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由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临床科室自行确定，但是每月不得少于1次。 </w:t>
      </w:r>
    </w:p>
    <w:p w14:paraId="2BAA9078">
      <w:pPr>
        <w:widowControl/>
        <w:spacing w:after="360" w:line="240" w:lineRule="atLeast"/>
        <w:jc w:val="center"/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 xml:space="preserve">第三章 附 则 </w:t>
      </w:r>
    </w:p>
    <w:p w14:paraId="760EC262">
      <w:pPr>
        <w:widowControl/>
        <w:spacing w:line="240" w:lineRule="atLeast"/>
        <w:ind w:firstLine="622" w:firstLineChars="200"/>
        <w:jc w:val="left"/>
        <w:rPr>
          <w:rFonts w:cs="宋体"/>
          <w:color w:val="36363D"/>
        </w:rPr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第十一条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本制度由</w:t>
      </w:r>
      <w:r>
        <w:rPr>
          <w:rFonts w:hint="eastAsia" w:ascii="仿宋_GB2312" w:hAnsi="仿宋_GB2312" w:eastAsia="仿宋_GB2312" w:cs="仿宋_GB2312"/>
          <w:color w:val="36363D"/>
          <w:kern w:val="0"/>
          <w:sz w:val="31"/>
          <w:szCs w:val="31"/>
        </w:rPr>
        <w:t>医务处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负责解释。 </w:t>
      </w:r>
    </w:p>
    <w:p w14:paraId="2BF3B31B">
      <w:pPr>
        <w:widowControl/>
        <w:spacing w:line="240" w:lineRule="atLeast"/>
        <w:ind w:firstLine="622" w:firstLineChars="200"/>
        <w:jc w:val="left"/>
      </w:pPr>
      <w:r>
        <w:rPr>
          <w:rFonts w:ascii="仿宋_GB2312" w:hAnsi="仿宋_GB2312" w:eastAsia="仿宋_GB2312" w:cs="仿宋_GB2312"/>
          <w:b/>
          <w:bCs/>
          <w:color w:val="36363D"/>
          <w:kern w:val="0"/>
          <w:sz w:val="31"/>
          <w:szCs w:val="31"/>
        </w:rPr>
        <w:t>第十二条</w:t>
      </w:r>
      <w:r>
        <w:rPr>
          <w:rFonts w:ascii="仿宋_GB2312" w:hAnsi="仿宋_GB2312" w:eastAsia="仿宋_GB2312" w:cs="仿宋_GB2312"/>
          <w:color w:val="36363D"/>
          <w:kern w:val="0"/>
          <w:sz w:val="31"/>
          <w:szCs w:val="31"/>
        </w:rPr>
        <w:t xml:space="preserve"> 本制度自发布之日起施行。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D01A312-21DF-4A2E-851D-D98438D0BB3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C501A919-D5B7-4F8A-8E6D-D61339D8502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7EC76BDE-044B-4C55-B670-E5F813140E4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B3451"/>
    <w:rsid w:val="0F5B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240" w:lineRule="atLeast"/>
      <w:ind w:firstLine="420" w:firstLineChars="200"/>
    </w:pPr>
    <w:rPr>
      <w:rFonts w:ascii="Times New Roman" w:hAnsi="Times New Roman"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2025-06-11T07:32:00Z</dcterms:created>
  <dc:creator>杨宇博</dc:creator>
  <cp:lastModifiedBy>杨宇博</cp:lastModifiedBy>
  <dcterms:modified xsi:type="dcterms:W3CDTF">2025-06-11T07:32:43Z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8B9C4AF3577B4D3BAE5D9FF8980AF40B_11</vt:lpwstr>
  </property>
  <property fmtid="{D5CDD505-2E9C-101B-9397-08002B2CF9AE}" pid="4" name="KSOTemplateDocerSaveRecord">
    <vt:lpwstr>eyJoZGlkIjoiZjg0M2IwMGIxZGRiNWZhNzY3NTNkZTFhM2RmYTUyYjAiLCJ1c2VySWQiOiIyMDg2NTk0NTUifQ==</vt:lpwstr>
  </property>
</Properties>
</file>