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AD71B">
      <w:pPr>
        <w:pStyle w:val="3"/>
        <w:ind w:firstLine="0" w:firstLineChars="0"/>
        <w:jc w:val="left"/>
        <w:rPr>
          <w:rFonts w:ascii="仿宋_GB2312" w:hAnsi="楷体" w:cs="楷体"/>
        </w:rPr>
      </w:pPr>
      <w:bookmarkStart w:id="0" w:name="_Hlk171248156"/>
      <w:bookmarkEnd w:id="0"/>
      <w:r>
        <w:rPr>
          <w:rFonts w:hint="eastAsia" w:ascii="仿宋_GB2312" w:hAnsi="楷体" w:cs="楷体"/>
        </w:rPr>
        <w:t>附件</w:t>
      </w:r>
      <w:r>
        <w:rPr>
          <w:rFonts w:ascii="仿宋_GB2312" w:hAnsi="楷体" w:cs="楷体"/>
        </w:rPr>
        <w:t>2</w:t>
      </w:r>
      <w:r>
        <w:rPr>
          <w:rFonts w:hint="eastAsia" w:ascii="仿宋_GB2312" w:hAnsi="楷体" w:cs="楷体"/>
        </w:rPr>
        <w:t>：</w:t>
      </w:r>
    </w:p>
    <w:p w14:paraId="4DF6530C">
      <w:pPr>
        <w:pStyle w:val="2"/>
        <w:spacing w:line="240" w:lineRule="atLeast"/>
        <w:ind w:firstLine="880" w:firstLineChars="200"/>
        <w:jc w:val="center"/>
        <w:rPr>
          <w:rFonts w:ascii="方正小标宋_GBK" w:hAnsi="方正小标宋_GBK" w:eastAsia="方正小标宋_GBK" w:cs="方正小标宋_GBK"/>
          <w:b w:val="0"/>
          <w:bCs/>
          <w:kern w:val="2"/>
          <w:sz w:val="44"/>
          <w:szCs w:val="44"/>
        </w:rPr>
      </w:pPr>
      <w:bookmarkStart w:id="1" w:name="_GoBack"/>
      <w:r>
        <w:rPr>
          <w:rFonts w:ascii="方正小标宋_GBK" w:hAnsi="方正小标宋_GBK" w:eastAsia="方正小标宋_GBK" w:cs="方正小标宋_GBK"/>
          <w:b w:val="0"/>
          <w:bCs/>
          <w:kern w:val="2"/>
          <w:sz w:val="44"/>
          <w:szCs w:val="44"/>
        </w:rPr>
        <w:t>北京电力医院三级查房制度</w:t>
      </w:r>
    </w:p>
    <w:bookmarkEnd w:id="1"/>
    <w:p w14:paraId="2FFBA8C6">
      <w:pPr>
        <w:pStyle w:val="4"/>
        <w:widowControl/>
        <w:spacing w:beforeAutospacing="0" w:after="360" w:afterAutospacing="0" w:line="240" w:lineRule="atLeast"/>
        <w:ind w:firstLine="622" w:firstLineChars="200"/>
        <w:jc w:val="center"/>
        <w:rPr>
          <w:rFonts w:ascii="仿宋_GB2312" w:hAnsi="仿宋_GB2312" w:eastAsia="仿宋_GB2312" w:cs="仿宋_GB2312"/>
          <w:b/>
          <w:bCs/>
          <w:color w:val="000000"/>
          <w:sz w:val="31"/>
          <w:szCs w:val="31"/>
          <w:lang w:bidi="ar"/>
        </w:rPr>
      </w:pPr>
      <w:r>
        <w:rPr>
          <w:rFonts w:ascii="仿宋_GB2312" w:hAnsi="仿宋_GB2312" w:eastAsia="仿宋_GB2312" w:cs="仿宋_GB2312"/>
          <w:b/>
          <w:bCs/>
          <w:color w:val="000000"/>
          <w:sz w:val="31"/>
          <w:szCs w:val="31"/>
          <w:lang w:bidi="ar"/>
        </w:rPr>
        <w:t>第一章 总 则</w:t>
      </w:r>
    </w:p>
    <w:p w14:paraId="31A96EB5">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第一条</w:t>
      </w:r>
      <w:r>
        <w:rPr>
          <w:rFonts w:ascii="仿宋_GB2312" w:hAnsi="仿宋_GB2312" w:eastAsia="仿宋_GB2312" w:cs="仿宋_GB2312"/>
          <w:color w:val="000000"/>
          <w:kern w:val="0"/>
          <w:sz w:val="31"/>
          <w:szCs w:val="31"/>
          <w:lang w:bidi="ar"/>
        </w:rPr>
        <w:t> 三级查房制度是指患者住院期间，由不同级别的医师以查房的形式实施患者评估、制定与调整诊疗方案、观察诊疗效果等医疗活动的制度。其核心是检查、评估患者，了解、分析与预测患者疾病相关的信息，包括患者生理、心理、家庭和社会信息，旨在制定与调整诊疗方案，观察诊疗效果，开展医患沟通等医疗活动。三级查房是最基本、最重要的医疗活动，是及时了解患者病情变化、思想活动，进一步明确诊断，制定合理的诊疗方案的重要途径，同时也是提高医疗质量和培养下级医护人员的重要措施。</w:t>
      </w:r>
    </w:p>
    <w:p w14:paraId="12BB9A7D">
      <w:pPr>
        <w:pStyle w:val="4"/>
        <w:widowControl/>
        <w:spacing w:beforeAutospacing="0" w:after="360" w:afterAutospacing="0" w:line="240" w:lineRule="atLeast"/>
        <w:ind w:firstLine="622" w:firstLineChars="200"/>
        <w:jc w:val="both"/>
        <w:rPr>
          <w:rFonts w:ascii="仿宋_GB2312" w:hAnsi="仿宋_GB2312" w:eastAsia="仿宋_GB2312" w:cs="仿宋_GB2312"/>
          <w:color w:val="000000"/>
          <w:sz w:val="31"/>
          <w:szCs w:val="31"/>
          <w:lang w:bidi="ar"/>
        </w:rPr>
      </w:pPr>
      <w:r>
        <w:rPr>
          <w:rFonts w:ascii="仿宋_GB2312" w:hAnsi="仿宋_GB2312" w:eastAsia="仿宋_GB2312" w:cs="仿宋_GB2312"/>
          <w:b/>
          <w:bCs/>
          <w:color w:val="000000"/>
          <w:sz w:val="31"/>
          <w:szCs w:val="31"/>
          <w:lang w:bidi="ar"/>
        </w:rPr>
        <w:t>第二条</w:t>
      </w:r>
      <w:r>
        <w:rPr>
          <w:rFonts w:ascii="仿宋_GB2312" w:hAnsi="仿宋_GB2312" w:eastAsia="仿宋_GB2312" w:cs="仿宋_GB2312"/>
          <w:color w:val="000000"/>
          <w:sz w:val="31"/>
          <w:szCs w:val="31"/>
          <w:lang w:bidi="ar"/>
        </w:rPr>
        <w:t> 本制度适用于医院各临床科室。</w:t>
      </w:r>
    </w:p>
    <w:p w14:paraId="73387633">
      <w:pPr>
        <w:pStyle w:val="4"/>
        <w:widowControl/>
        <w:spacing w:beforeAutospacing="0" w:after="360" w:afterAutospacing="0" w:line="240" w:lineRule="atLeast"/>
        <w:ind w:firstLine="622" w:firstLineChars="200"/>
        <w:jc w:val="center"/>
        <w:rPr>
          <w:rFonts w:ascii="仿宋_GB2312" w:hAnsi="仿宋_GB2312" w:eastAsia="仿宋_GB2312" w:cs="仿宋_GB2312"/>
          <w:b/>
          <w:bCs/>
          <w:color w:val="000000"/>
          <w:sz w:val="31"/>
          <w:szCs w:val="31"/>
          <w:lang w:bidi="ar"/>
        </w:rPr>
      </w:pPr>
      <w:r>
        <w:rPr>
          <w:rFonts w:ascii="仿宋_GB2312" w:hAnsi="仿宋_GB2312" w:eastAsia="仿宋_GB2312" w:cs="仿宋_GB2312"/>
          <w:b/>
          <w:bCs/>
          <w:color w:val="000000"/>
          <w:sz w:val="31"/>
          <w:szCs w:val="31"/>
          <w:lang w:bidi="ar"/>
        </w:rPr>
        <w:t>第二章 管理规范</w:t>
      </w:r>
    </w:p>
    <w:p w14:paraId="5369279B">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第三条</w:t>
      </w:r>
      <w:r>
        <w:rPr>
          <w:rFonts w:ascii="仿宋_GB2312" w:hAnsi="仿宋_GB2312" w:eastAsia="仿宋_GB2312" w:cs="仿宋_GB2312"/>
          <w:color w:val="000000"/>
          <w:kern w:val="0"/>
          <w:sz w:val="31"/>
          <w:szCs w:val="31"/>
          <w:lang w:bidi="ar"/>
        </w:rPr>
        <w:t> </w:t>
      </w:r>
      <w:r>
        <w:rPr>
          <w:rFonts w:hint="eastAsia" w:ascii="仿宋_GB2312" w:hAnsi="仿宋_GB2312" w:eastAsia="仿宋_GB2312" w:cs="仿宋_GB2312"/>
          <w:color w:val="000000"/>
          <w:kern w:val="0"/>
          <w:sz w:val="31"/>
          <w:szCs w:val="31"/>
          <w:lang w:bidi="ar"/>
        </w:rPr>
        <w:t>医</w:t>
      </w:r>
      <w:r>
        <w:rPr>
          <w:rFonts w:ascii="仿宋_GB2312" w:hAnsi="仿宋_GB2312" w:eastAsia="仿宋_GB2312" w:cs="仿宋_GB2312"/>
          <w:color w:val="000000"/>
          <w:kern w:val="0"/>
          <w:sz w:val="31"/>
          <w:szCs w:val="31"/>
          <w:lang w:bidi="ar"/>
        </w:rPr>
        <w:t>院实行科主任领导下的三个不同级别的医师查房制度。三个不同级别的医师可以包括但不限于主任医师或副主任医师—主治医师—住院医师。遵循下级医师服从上级医师，所有医师服从科主任的工作原则。科主任根据科室/病区床位、工作量、医师的专业资质层次和能力等要素可组建若干个医疗组</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指定医疗组的负责人(含医疗组长、主诊医师和带组的主任医师/副主任医师等)</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中间级别和最低级别的医师可参照职称、个人技术能力等因素选拔和认定；三级医师不健全的科室，仍要有明确的科室三级医师架构</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可以将业务能力强、资历深的</w:t>
      </w:r>
      <w:r>
        <w:rPr>
          <w:rFonts w:hint="eastAsia" w:ascii="仿宋_GB2312" w:hAnsi="仿宋_GB2312" w:eastAsia="仿宋_GB2312" w:cs="仿宋_GB2312"/>
          <w:color w:val="000000"/>
          <w:kern w:val="0"/>
          <w:sz w:val="31"/>
          <w:szCs w:val="31"/>
          <w:lang w:bidi="ar"/>
        </w:rPr>
        <w:t>主任</w:t>
      </w:r>
      <w:r>
        <w:rPr>
          <w:rFonts w:ascii="仿宋_GB2312" w:hAnsi="仿宋_GB2312" w:eastAsia="仿宋_GB2312" w:cs="仿宋_GB2312"/>
          <w:color w:val="000000"/>
          <w:kern w:val="0"/>
          <w:sz w:val="31"/>
          <w:szCs w:val="31"/>
          <w:lang w:bidi="ar"/>
        </w:rPr>
        <w:t>医师或科主任评定为三级医师，资历浅的副主任医师可评定为二级医师，资历浅的主治医师可评定为一级医师，报医疗质量管理委员会批准，</w:t>
      </w:r>
      <w:r>
        <w:rPr>
          <w:rFonts w:hint="eastAsia" w:ascii="仿宋_GB2312" w:hAnsi="仿宋_GB2312" w:eastAsia="仿宋_GB2312" w:cs="仿宋_GB2312"/>
          <w:color w:val="000000"/>
          <w:kern w:val="0"/>
          <w:sz w:val="31"/>
          <w:szCs w:val="31"/>
          <w:lang w:bidi="ar"/>
        </w:rPr>
        <w:t>医务处</w:t>
      </w:r>
      <w:r>
        <w:rPr>
          <w:rFonts w:ascii="仿宋_GB2312" w:hAnsi="仿宋_GB2312" w:eastAsia="仿宋_GB2312" w:cs="仿宋_GB2312"/>
          <w:color w:val="000000"/>
          <w:kern w:val="0"/>
          <w:sz w:val="31"/>
          <w:szCs w:val="31"/>
          <w:lang w:bidi="ar"/>
        </w:rPr>
        <w:t>备案并定期调整。科主任可同时担任医疗团队的负责人。具体如下：</w:t>
      </w:r>
    </w:p>
    <w:p w14:paraId="21F3262F">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三级医师：副主任医师及主任医师，科室无副主任医师及主任医师的科室主任；</w:t>
      </w:r>
    </w:p>
    <w:p w14:paraId="14443217">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二级医师：主治医师及以上职称，无主治医师、副主任医师科室的高年资住院医师；</w:t>
      </w:r>
    </w:p>
    <w:p w14:paraId="18046843">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一级医师：住院医师、在本院进行医师资格证注册的进修医师</w:t>
      </w:r>
      <w:r>
        <w:rPr>
          <w:rFonts w:hint="eastAsia" w:ascii="仿宋_GB2312" w:hAnsi="仿宋_GB2312" w:eastAsia="仿宋_GB2312" w:cs="仿宋_GB2312"/>
          <w:color w:val="000000"/>
          <w:kern w:val="0"/>
          <w:sz w:val="31"/>
          <w:szCs w:val="31"/>
          <w:lang w:bidi="ar"/>
        </w:rPr>
        <w:t>。</w:t>
      </w:r>
    </w:p>
    <w:p w14:paraId="0E9A974E">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第四条</w:t>
      </w:r>
      <w:r>
        <w:rPr>
          <w:rFonts w:ascii="仿宋_GB2312" w:hAnsi="仿宋_GB2312" w:eastAsia="仿宋_GB2312" w:cs="仿宋_GB2312"/>
          <w:color w:val="000000"/>
          <w:kern w:val="0"/>
          <w:sz w:val="31"/>
          <w:szCs w:val="31"/>
          <w:lang w:bidi="ar"/>
        </w:rPr>
        <w:t> 查房周期</w:t>
      </w:r>
    </w:p>
    <w:p w14:paraId="7E20EDC9">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（一）工作日每天至少查房2次，非工作日每天至少查房1次。</w:t>
      </w:r>
    </w:p>
    <w:p w14:paraId="17E7EDFC">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（二）一级医师每天对所管病人进行查房，熟悉病人病情，解决一般问题，上、下午至少各查房一次。</w:t>
      </w:r>
    </w:p>
    <w:p w14:paraId="6C45A7A8">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（三）二级医师每周至少查房3次。二级医师首次查房记录应当于患者入院48小时内完成。</w:t>
      </w:r>
    </w:p>
    <w:p w14:paraId="5C36AB14">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（四）三级医师每周至少查房2次。三级医师的首次查房记录应当于患者入院72小时内完成。</w:t>
      </w:r>
    </w:p>
    <w:p w14:paraId="457162F3">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（五）术者必须亲自在术前和术后24小时内查房。</w:t>
      </w:r>
    </w:p>
    <w:p w14:paraId="5D2ADA7D">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（六）各级医师查房时应仪容仪表整洁、尊重患者、保护患者隐私。</w:t>
      </w:r>
    </w:p>
    <w:p w14:paraId="462B7EFC">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（七）住院超过一周以上的患者必须有三级医师查房并及时记录。</w:t>
      </w:r>
    </w:p>
    <w:p w14:paraId="31DC0CB2">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第五条</w:t>
      </w:r>
      <w:r>
        <w:rPr>
          <w:rFonts w:ascii="仿宋_GB2312" w:hAnsi="仿宋_GB2312" w:eastAsia="仿宋_GB2312" w:cs="仿宋_GB2312"/>
          <w:color w:val="000000"/>
          <w:kern w:val="0"/>
          <w:sz w:val="31"/>
          <w:szCs w:val="31"/>
          <w:lang w:bidi="ar"/>
        </w:rPr>
        <w:t> 各级医师的医疗决策和实施权限</w:t>
      </w:r>
    </w:p>
    <w:p w14:paraId="27A3BB8E">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一）一级医师的医疗决策和实施权限：在二、三级医师查房前，一级医师应系统掌握、熟悉所管患者的病情及有关检查结果，作好查房准备并完整汇报病情及诊治经过。主动向上级医师汇报经治患者的病情、诊断、治疗等；检查化验报告单，分析检查结果，提出进一步的检查和治疗意见；检查当日医嘱执行情况；随时观察病情变化并处理，随时记录，必要时请上级医师检查患者；了解患者饮食情况，征求患者对医疗、护理、 生活等方面的意见；与患者及家属积极沟通，交换对病情进展情况及诊疗计划的意见。</w:t>
      </w:r>
    </w:p>
    <w:p w14:paraId="64363657">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二）二级医师的医疗决策和实施权限：对本组病人进行巡诊和系统检诊，解决本组病例的关键医疗技术问题，制定或修订对患者的诊疗方案，并做出相应的医疗决策；对新入院、手术前后、危重、诊断未明确、治疗效果不佳的患者进行重点检查；对危重疑难病例诊治困难者，及时请示三级医师；在本组范围内实施住院医疗服务环节质量控制及其他相关过程控制程序，对本组医师进行技术指导和技术考核；加强本组医疗服务过程监测，医疗质量检控和医疗安全防范；实现三级查房过程中的医、护质量接口要求；决定院内会诊；严格管控病历书写的质量，纠正其中的错误和不准确的记录；审核医嘱执行情况；决定一般手术和必要的检查及治疗；通过查房加强与病人及其家属的沟通，履行医疗服务有关告知的职责。</w:t>
      </w:r>
    </w:p>
    <w:p w14:paraId="13607BCB">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三）三级医师的医疗决策和实施权限：解决疑难危重病例，审查新入院、重危患者的诊断、治疗计划；决定重大手术及特殊检查、治疗；决定邀请院外会诊；抽查医疗文书质量；考核住院医师“三基”掌握情况；讲解有关重点疾病的新进展； 听取科室人员对医疗、护理工作的意见；决定患者出院、转科、</w:t>
      </w:r>
    </w:p>
    <w:p w14:paraId="0E19B95E">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转院等问题；决定大量输血的申请等问题。</w:t>
      </w:r>
    </w:p>
    <w:p w14:paraId="34E254A7">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第六条</w:t>
      </w:r>
      <w:r>
        <w:rPr>
          <w:rFonts w:ascii="仿宋_GB2312" w:hAnsi="仿宋_GB2312" w:eastAsia="仿宋_GB2312" w:cs="仿宋_GB2312"/>
          <w:color w:val="000000"/>
          <w:kern w:val="0"/>
          <w:sz w:val="31"/>
          <w:szCs w:val="31"/>
          <w:lang w:bidi="ar"/>
        </w:rPr>
        <w:t> 查房人员要求</w:t>
      </w:r>
    </w:p>
    <w:p w14:paraId="3CA839F6">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（一）一级医师查房，实习医师和进修医师必须参加，在不影响护理工作的前提下，护士长可安排责任护士参加查房。</w:t>
      </w:r>
    </w:p>
    <w:p w14:paraId="53B4A08B">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（二）二级医师查房时，一级医师必须参加，责任护士积极参加，对患者护理相关问题作出建议。</w:t>
      </w:r>
    </w:p>
    <w:p w14:paraId="05F69F25">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（三）三级医师查房时，二级医师、一级医师必须参加，护士长/责任组长积极参加查房，提高临床科室医护一体化协同能力。</w:t>
      </w:r>
    </w:p>
    <w:p w14:paraId="6EB8EAC9">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第七条</w:t>
      </w:r>
      <w:r>
        <w:rPr>
          <w:rFonts w:ascii="仿宋_GB2312" w:hAnsi="仿宋_GB2312" w:eastAsia="仿宋_GB2312" w:cs="仿宋_GB2312"/>
          <w:color w:val="000000"/>
          <w:kern w:val="0"/>
          <w:sz w:val="31"/>
          <w:szCs w:val="31"/>
          <w:lang w:bidi="ar"/>
        </w:rPr>
        <w:t> 查房医师要定期查房，如有特殊情况可根据科室实际情况执行查房替代制度，由替代人查房。查房时应注意仪表，佩戴胸卡，尊重患者，保护隐私，加强沟通，争得患者或家属理解和支持。</w:t>
      </w:r>
    </w:p>
    <w:p w14:paraId="1DF72E92">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第八条</w:t>
      </w:r>
      <w:r>
        <w:rPr>
          <w:rFonts w:ascii="仿宋_GB2312" w:hAnsi="仿宋_GB2312" w:eastAsia="仿宋_GB2312" w:cs="仿宋_GB2312"/>
          <w:color w:val="000000"/>
          <w:kern w:val="0"/>
          <w:sz w:val="31"/>
          <w:szCs w:val="31"/>
          <w:lang w:bidi="ar"/>
        </w:rPr>
        <w:t> 对危重病人，住院医师应随时观察病情变化并及时处理，如遇有疑难问题，应及时向上级医师报告或邀请相关科室会诊。危重患者入院当日应有二级医师或值班二线以上级别医师的查房记录。</w:t>
      </w:r>
    </w:p>
    <w:p w14:paraId="04038F06">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第九条</w:t>
      </w:r>
      <w:r>
        <w:rPr>
          <w:rFonts w:ascii="仿宋_GB2312" w:hAnsi="仿宋_GB2312" w:eastAsia="仿宋_GB2312" w:cs="仿宋_GB2312"/>
          <w:color w:val="000000"/>
          <w:kern w:val="0"/>
          <w:sz w:val="31"/>
          <w:szCs w:val="31"/>
          <w:lang w:bidi="ar"/>
        </w:rPr>
        <w:t> 在日常病程中应明确体现三级查房制度，详细记录每条查房记录是由哪一级别医师带队完成。上级医师查房的意见和决定，要详细记录在当日的病程记录中。上级医师查房前，住院（进修）医师须认真准备，并把所需各种资料备齐。查房时，经治医师报告简要病史、目前病情，提出需要解决的问题，随时回答上级医师的提问。上级医师根据情况做必要的检查和病情分析，做出指示，并结合病员病情介绍国内外本学科的新进展、新的学术观点和新疗法等。</w:t>
      </w:r>
    </w:p>
    <w:p w14:paraId="4D915332">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第十条</w:t>
      </w:r>
      <w:r>
        <w:rPr>
          <w:rFonts w:hint="eastAsia" w:ascii="仿宋_GB2312" w:hAnsi="仿宋_GB2312" w:eastAsia="仿宋_GB2312" w:cs="仿宋_GB2312"/>
          <w:b/>
          <w:bCs/>
          <w:color w:val="000000"/>
          <w:kern w:val="0"/>
          <w:sz w:val="31"/>
          <w:szCs w:val="31"/>
          <w:lang w:bidi="ar"/>
        </w:rPr>
        <w:t xml:space="preserve"> </w:t>
      </w:r>
      <w:r>
        <w:rPr>
          <w:rFonts w:ascii="仿宋_GB2312" w:hAnsi="仿宋_GB2312" w:eastAsia="仿宋_GB2312" w:cs="仿宋_GB2312"/>
          <w:color w:val="000000"/>
          <w:kern w:val="0"/>
          <w:sz w:val="31"/>
          <w:szCs w:val="31"/>
          <w:lang w:bidi="ar"/>
        </w:rPr>
        <w:t>护理、药师查房可参照上述规定执行。</w:t>
      </w:r>
    </w:p>
    <w:p w14:paraId="19DC0529">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第十一条</w:t>
      </w:r>
      <w:r>
        <w:rPr>
          <w:rFonts w:ascii="仿宋_GB2312" w:hAnsi="仿宋_GB2312" w:eastAsia="仿宋_GB2312" w:cs="仿宋_GB2312"/>
          <w:color w:val="000000"/>
          <w:kern w:val="0"/>
          <w:sz w:val="31"/>
          <w:szCs w:val="31"/>
          <w:lang w:bidi="ar"/>
        </w:rPr>
        <w:t> 监督考核管理</w:t>
      </w:r>
    </w:p>
    <w:p w14:paraId="78289275">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职能部门对相关病历等资料进行定期和不定期检查。针对周末、节假日查房情况，由</w:t>
      </w:r>
      <w:r>
        <w:rPr>
          <w:rFonts w:hint="eastAsia" w:ascii="仿宋_GB2312" w:hAnsi="仿宋_GB2312" w:eastAsia="仿宋_GB2312" w:cs="仿宋_GB2312"/>
          <w:color w:val="000000"/>
          <w:kern w:val="0"/>
          <w:sz w:val="31"/>
          <w:szCs w:val="31"/>
          <w:lang w:bidi="ar"/>
        </w:rPr>
        <w:t>医务处</w:t>
      </w:r>
      <w:r>
        <w:rPr>
          <w:rFonts w:ascii="仿宋_GB2312" w:hAnsi="仿宋_GB2312" w:eastAsia="仿宋_GB2312" w:cs="仿宋_GB2312"/>
          <w:color w:val="000000"/>
          <w:kern w:val="0"/>
          <w:sz w:val="31"/>
          <w:szCs w:val="31"/>
          <w:lang w:bidi="ar"/>
        </w:rPr>
        <w:t>负责进行现场督查。检查结果全院公示并纳入绩效考核。</w:t>
      </w:r>
    </w:p>
    <w:p w14:paraId="1C181AB0">
      <w:pPr>
        <w:pStyle w:val="4"/>
        <w:widowControl/>
        <w:spacing w:beforeAutospacing="0" w:after="360" w:afterAutospacing="0" w:line="240" w:lineRule="atLeast"/>
        <w:ind w:firstLine="622" w:firstLineChars="200"/>
        <w:jc w:val="center"/>
        <w:rPr>
          <w:rFonts w:ascii="仿宋_GB2312" w:hAnsi="仿宋_GB2312" w:eastAsia="仿宋_GB2312" w:cs="仿宋_GB2312"/>
          <w:b/>
          <w:bCs/>
          <w:color w:val="000000"/>
          <w:sz w:val="31"/>
          <w:szCs w:val="31"/>
          <w:lang w:bidi="ar"/>
        </w:rPr>
      </w:pPr>
      <w:r>
        <w:rPr>
          <w:rFonts w:ascii="仿宋_GB2312" w:hAnsi="仿宋_GB2312" w:eastAsia="仿宋_GB2312" w:cs="仿宋_GB2312"/>
          <w:b/>
          <w:bCs/>
          <w:color w:val="000000"/>
          <w:sz w:val="31"/>
          <w:szCs w:val="31"/>
          <w:lang w:bidi="ar"/>
        </w:rPr>
        <w:t>第三章 附 则</w:t>
      </w:r>
    </w:p>
    <w:p w14:paraId="79ED4877">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第十二条</w:t>
      </w:r>
      <w:r>
        <w:rPr>
          <w:rFonts w:hint="eastAsia" w:ascii="仿宋_GB2312" w:hAnsi="仿宋_GB2312" w:eastAsia="仿宋_GB2312" w:cs="仿宋_GB2312"/>
          <w:b/>
          <w:bCs/>
          <w:color w:val="000000"/>
          <w:kern w:val="0"/>
          <w:sz w:val="31"/>
          <w:szCs w:val="31"/>
          <w:lang w:bidi="ar"/>
        </w:rPr>
        <w:t xml:space="preserve"> </w:t>
      </w:r>
      <w:r>
        <w:rPr>
          <w:rFonts w:ascii="仿宋_GB2312" w:hAnsi="仿宋_GB2312" w:eastAsia="仿宋_GB2312" w:cs="仿宋_GB2312"/>
          <w:color w:val="000000"/>
          <w:kern w:val="0"/>
          <w:sz w:val="31"/>
          <w:szCs w:val="31"/>
          <w:lang w:bidi="ar"/>
        </w:rPr>
        <w:t>本制度由</w:t>
      </w:r>
      <w:r>
        <w:rPr>
          <w:rFonts w:hint="eastAsia" w:ascii="仿宋_GB2312" w:hAnsi="仿宋_GB2312" w:eastAsia="仿宋_GB2312" w:cs="仿宋_GB2312"/>
          <w:color w:val="000000"/>
          <w:kern w:val="0"/>
          <w:sz w:val="31"/>
          <w:szCs w:val="31"/>
          <w:lang w:bidi="ar"/>
        </w:rPr>
        <w:t>医务处</w:t>
      </w:r>
      <w:r>
        <w:rPr>
          <w:rFonts w:ascii="仿宋_GB2312" w:hAnsi="仿宋_GB2312" w:eastAsia="仿宋_GB2312" w:cs="仿宋_GB2312"/>
          <w:color w:val="000000"/>
          <w:kern w:val="0"/>
          <w:sz w:val="31"/>
          <w:szCs w:val="31"/>
          <w:lang w:bidi="ar"/>
        </w:rPr>
        <w:t>负责解释。</w:t>
      </w:r>
    </w:p>
    <w:p w14:paraId="5E1996D7">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第十三条</w:t>
      </w:r>
      <w:r>
        <w:rPr>
          <w:rFonts w:hint="eastAsia" w:ascii="仿宋_GB2312" w:hAnsi="仿宋_GB2312" w:eastAsia="仿宋_GB2312" w:cs="仿宋_GB2312"/>
          <w:b/>
          <w:bCs/>
          <w:color w:val="000000"/>
          <w:kern w:val="0"/>
          <w:sz w:val="31"/>
          <w:szCs w:val="31"/>
          <w:lang w:bidi="ar"/>
        </w:rPr>
        <w:t xml:space="preserve"> </w:t>
      </w:r>
      <w:r>
        <w:rPr>
          <w:rFonts w:ascii="仿宋_GB2312" w:hAnsi="仿宋_GB2312" w:eastAsia="仿宋_GB2312" w:cs="仿宋_GB2312"/>
          <w:color w:val="000000"/>
          <w:kern w:val="0"/>
          <w:sz w:val="31"/>
          <w:szCs w:val="31"/>
          <w:lang w:bidi="ar"/>
        </w:rPr>
        <w:t>本制度自发布之日起施行。</w:t>
      </w:r>
    </w:p>
    <w:p w14:paraId="4ADDADD2">
      <w:pPr>
        <w:pStyle w:val="3"/>
        <w:spacing w:line="240" w:lineRule="atLeast"/>
        <w:ind w:firstLine="640"/>
        <w:jc w:val="left"/>
        <w:rPr>
          <w:rFonts w:ascii="仿宋_GB2312" w:hAnsi="楷体" w:cs="楷体"/>
        </w:rPr>
      </w:pPr>
    </w:p>
    <w:p w14:paraId="44B52E16">
      <w:pPr>
        <w:pStyle w:val="3"/>
        <w:spacing w:line="240" w:lineRule="atLeast"/>
        <w:ind w:firstLine="640"/>
        <w:jc w:val="left"/>
        <w:rPr>
          <w:rFonts w:ascii="仿宋_GB2312" w:hAnsi="楷体" w:cs="楷体"/>
        </w:rPr>
      </w:pPr>
    </w:p>
    <w:p w14:paraId="7CF074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F257ECFB-401C-4596-AA49-15C690FE1655}"/>
  </w:font>
  <w:font w:name="仿宋_GB2312">
    <w:altName w:val="仿宋"/>
    <w:panose1 w:val="02010609030101010101"/>
    <w:charset w:val="86"/>
    <w:family w:val="modern"/>
    <w:pitch w:val="default"/>
    <w:sig w:usb0="00000000" w:usb1="00000000" w:usb2="00000010" w:usb3="00000000" w:csb0="00040000" w:csb1="00000000"/>
    <w:embedRegular r:id="rId2" w:fontKey="{7FCCF485-F49E-430A-9F67-1ABED0C4BF06}"/>
  </w:font>
  <w:font w:name="楷体">
    <w:panose1 w:val="02010609060101010101"/>
    <w:charset w:val="86"/>
    <w:family w:val="modern"/>
    <w:pitch w:val="default"/>
    <w:sig w:usb0="800002BF" w:usb1="38CF7CFA" w:usb2="00000016" w:usb3="00000000" w:csb0="00040001" w:csb1="00000000"/>
    <w:embedRegular r:id="rId3" w:fontKey="{BBEBD698-CF8A-4FAA-AA57-17DB6034BED4}"/>
  </w:font>
  <w:font w:name="方正小标宋_GBK">
    <w:panose1 w:val="02000000000000000000"/>
    <w:charset w:val="86"/>
    <w:family w:val="auto"/>
    <w:pitch w:val="default"/>
    <w:sig w:usb0="A00002BF" w:usb1="38CF7CFA" w:usb2="00082016" w:usb3="00000000" w:csb0="00040001" w:csb1="00000000"/>
    <w:embedRegular r:id="rId4" w:fontKey="{2BEA15A5-E0D1-4A3B-B62C-0095F2DEE302}"/>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ED2740"/>
    <w:rsid w:val="34ED2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spacing w:line="240" w:lineRule="atLeast"/>
      <w:ind w:firstLine="420" w:firstLineChars="200"/>
    </w:pPr>
    <w:rPr>
      <w:rFonts w:ascii="Times New Roman" w:hAnsi="Times New Roman" w:eastAsia="仿宋_GB2312"/>
      <w:sz w:val="32"/>
      <w:szCs w:val="20"/>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2025-06-11T07:29:00Z</dcterms:created>
  <dc:creator>杨宇博</dc:creator>
  <cp:lastModifiedBy>杨宇博</cp:lastModifiedBy>
  <dcterms:modified xsi:type="dcterms:W3CDTF">2025-06-11T07:29:43Z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181942DAD367488F852DDBC65D20A516_11</vt:lpwstr>
  </property>
  <property fmtid="{D5CDD505-2E9C-101B-9397-08002B2CF9AE}" pid="4" name="KSOTemplateDocerSaveRecord">
    <vt:lpwstr>eyJoZGlkIjoiZjg0M2IwMGIxZGRiNWZhNzY3NTNkZTFhM2RmYTUyYjAiLCJ1c2VySWQiOiIyMDg2NTk0NTUifQ==</vt:lpwstr>
  </property>
</Properties>
</file>