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02793">
      <w:pPr>
        <w:pStyle w:val="2"/>
        <w:ind w:firstLine="0" w:firstLineChars="0"/>
        <w:jc w:val="left"/>
        <w:rPr>
          <w:rFonts w:ascii="仿宋_GB2312" w:hAnsi="楷体" w:cs="楷体"/>
        </w:rPr>
      </w:pPr>
      <w:bookmarkStart w:id="0" w:name="_Hlk171248156"/>
      <w:bookmarkEnd w:id="0"/>
      <w:bookmarkStart w:id="1" w:name="OLE_LINK146"/>
      <w:bookmarkStart w:id="2" w:name="OLE_LINK147"/>
      <w:bookmarkStart w:id="3" w:name="OLE_LINK3"/>
      <w:bookmarkStart w:id="4" w:name="OLE_LINK4"/>
      <w:r>
        <w:rPr>
          <w:rFonts w:hint="eastAsia" w:ascii="仿宋_GB2312" w:hAnsi="楷体" w:cs="楷体"/>
        </w:rPr>
        <w:t>附件</w:t>
      </w:r>
      <w:r>
        <w:rPr>
          <w:rFonts w:hint="eastAsia" w:ascii="仿宋_GB2312" w:hAnsi="楷体" w:cs="楷体"/>
          <w:lang w:val="en-US" w:eastAsia="zh-CN"/>
        </w:rPr>
        <w:t>1</w:t>
      </w:r>
      <w:r>
        <w:rPr>
          <w:rFonts w:hint="eastAsia" w:ascii="仿宋_GB2312" w:hAnsi="楷体" w:cs="楷体"/>
        </w:rPr>
        <w:t>：</w:t>
      </w:r>
      <w:bookmarkEnd w:id="1"/>
      <w:bookmarkEnd w:id="2"/>
    </w:p>
    <w:bookmarkEnd w:id="3"/>
    <w:bookmarkEnd w:id="4"/>
    <w:p w14:paraId="6074DFAD">
      <w:pPr>
        <w:keepNext/>
        <w:keepLines/>
        <w:spacing w:before="260" w:after="260" w:line="240" w:lineRule="atLeast"/>
        <w:ind w:firstLine="880" w:firstLineChars="200"/>
        <w:jc w:val="center"/>
        <w:outlineLvl w:val="1"/>
        <w:rPr>
          <w:rFonts w:hint="eastAsia" w:ascii="方正小标宋_GBK" w:hAnsi="方正小标宋_GBK" w:eastAsia="方正小标宋_GBK" w:cs="方正小标宋_GBK"/>
          <w:b w:val="0"/>
          <w:bCs/>
          <w:sz w:val="44"/>
          <w:szCs w:val="44"/>
        </w:rPr>
      </w:pPr>
      <w:bookmarkStart w:id="5" w:name="_GoBack"/>
      <w:r>
        <w:rPr>
          <w:rFonts w:hint="eastAsia" w:ascii="方正小标宋_GBK" w:hAnsi="方正小标宋_GBK" w:eastAsia="方正小标宋_GBK" w:cs="方正小标宋_GBK"/>
          <w:b w:val="0"/>
          <w:bCs/>
          <w:sz w:val="44"/>
          <w:szCs w:val="44"/>
        </w:rPr>
        <w:t>北京电力医院首诊负责制度</w:t>
      </w:r>
      <w:bookmarkEnd w:id="5"/>
    </w:p>
    <w:p w14:paraId="3B775C42">
      <w:pPr>
        <w:widowControl/>
        <w:spacing w:line="240" w:lineRule="atLeast"/>
        <w:ind w:firstLine="622" w:firstLineChars="200"/>
        <w:jc w:val="center"/>
      </w:pPr>
      <w:r>
        <w:rPr>
          <w:rFonts w:ascii="仿宋_GB2312" w:hAnsi="仿宋_GB2312" w:eastAsia="仿宋_GB2312" w:cs="仿宋_GB2312"/>
          <w:b/>
          <w:bCs/>
          <w:color w:val="000000"/>
          <w:kern w:val="0"/>
          <w:sz w:val="31"/>
          <w:szCs w:val="31"/>
          <w:lang w:bidi="ar"/>
        </w:rPr>
        <w:t>第一章 总 则</w:t>
      </w:r>
    </w:p>
    <w:p w14:paraId="3A4E7E3B">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第一条</w:t>
      </w:r>
      <w:r>
        <w:rPr>
          <w:rFonts w:ascii="仿宋_GB2312" w:hAnsi="仿宋_GB2312" w:eastAsia="仿宋_GB2312" w:cs="仿宋_GB2312"/>
          <w:color w:val="000000"/>
          <w:kern w:val="0"/>
          <w:sz w:val="31"/>
          <w:szCs w:val="31"/>
          <w:lang w:bidi="ar"/>
        </w:rPr>
        <w:t xml:space="preserve"> 为保证来我院就诊患者得到及时救治，各科室要严格执行首诊负责制。首诊负责制是指患者首位接诊医师在一次就诊过程结束前或由其他医师接诊前，负责该患者全程诊疗管理的制度。 </w:t>
      </w:r>
    </w:p>
    <w:p w14:paraId="630A631E">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第二条</w:t>
      </w:r>
      <w:r>
        <w:rPr>
          <w:rFonts w:ascii="仿宋_GB2312" w:hAnsi="仿宋_GB2312" w:eastAsia="仿宋_GB2312" w:cs="仿宋_GB2312"/>
          <w:color w:val="000000"/>
          <w:kern w:val="0"/>
          <w:sz w:val="31"/>
          <w:szCs w:val="31"/>
          <w:lang w:bidi="ar"/>
        </w:rPr>
        <w:t xml:space="preserve"> 本制度适用于医院所有科室。 </w:t>
      </w:r>
    </w:p>
    <w:p w14:paraId="65C025D6">
      <w:pPr>
        <w:widowControl/>
        <w:spacing w:line="240" w:lineRule="atLeast"/>
        <w:ind w:firstLine="622" w:firstLineChars="200"/>
        <w:jc w:val="center"/>
      </w:pPr>
      <w:r>
        <w:rPr>
          <w:rFonts w:ascii="仿宋_GB2312" w:hAnsi="仿宋_GB2312" w:eastAsia="仿宋_GB2312" w:cs="仿宋_GB2312"/>
          <w:b/>
          <w:bCs/>
          <w:color w:val="000000"/>
          <w:kern w:val="0"/>
          <w:sz w:val="31"/>
          <w:szCs w:val="31"/>
          <w:lang w:bidi="ar"/>
        </w:rPr>
        <w:t>第二章 管理要求</w:t>
      </w:r>
    </w:p>
    <w:p w14:paraId="0306F1C3">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第三条</w:t>
      </w:r>
      <w:r>
        <w:rPr>
          <w:rFonts w:ascii="仿宋_GB2312" w:hAnsi="仿宋_GB2312" w:eastAsia="仿宋_GB2312" w:cs="仿宋_GB2312"/>
          <w:color w:val="000000"/>
          <w:kern w:val="0"/>
          <w:sz w:val="31"/>
          <w:szCs w:val="31"/>
          <w:lang w:bidi="ar"/>
        </w:rPr>
        <w:t xml:space="preserve"> 首位接诊医师的界定：</w:t>
      </w:r>
    </w:p>
    <w:p w14:paraId="4CE65BA5">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(一)患者完成门急诊挂号并到达诊室后，首先接诊的科室为首诊科室，首位接诊医师为首诊医师。不包括医师接诊未挂号患者、患者所挂就诊号与所接触的医师不符或与科室(专科)不符的情况。</w:t>
      </w:r>
    </w:p>
    <w:p w14:paraId="6A40A3C1">
      <w:pPr>
        <w:widowControl/>
        <w:spacing w:line="240" w:lineRule="atLeast"/>
        <w:ind w:firstLine="620"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color w:val="000000"/>
          <w:kern w:val="0"/>
          <w:sz w:val="31"/>
          <w:szCs w:val="31"/>
          <w:lang w:bidi="ar"/>
        </w:rPr>
        <w:t>(二)急危重症需抢救的患者的首位接诊医师即为首诊医师，不受其是否挂号，挂号与医师、科室或专科不符的限制。</w:t>
      </w:r>
    </w:p>
    <w:p w14:paraId="7D3E7E21">
      <w:pPr>
        <w:widowControl/>
        <w:spacing w:line="240" w:lineRule="atLeast"/>
        <w:ind w:firstLine="620" w:firstLineChars="200"/>
        <w:jc w:val="left"/>
      </w:pPr>
      <w:r>
        <w:rPr>
          <w:rFonts w:ascii="仿宋_GB2312" w:hAnsi="仿宋_GB2312" w:eastAsia="仿宋_GB2312" w:cs="仿宋_GB2312"/>
          <w:color w:val="000000"/>
          <w:kern w:val="0"/>
          <w:sz w:val="31"/>
          <w:szCs w:val="31"/>
          <w:lang w:bidi="ar"/>
        </w:rPr>
        <w:t xml:space="preserve">(三)涉及多科室的急、危重患者抢救，在未明确由哪一科室主管之前，除首诊科室主持诊治外，所有的有关科室须执行急、危重患者抢救制度，协同抢救，不得推诿，不得擅自离开。 </w:t>
      </w:r>
    </w:p>
    <w:p w14:paraId="531DEDE3">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第四条</w:t>
      </w:r>
      <w:r>
        <w:rPr>
          <w:rFonts w:ascii="仿宋_GB2312" w:hAnsi="仿宋_GB2312" w:eastAsia="仿宋_GB2312" w:cs="仿宋_GB2312"/>
          <w:color w:val="000000"/>
          <w:kern w:val="0"/>
          <w:sz w:val="31"/>
          <w:szCs w:val="31"/>
          <w:lang w:bidi="ar"/>
        </w:rPr>
        <w:t xml:space="preserve"> 诊疗阶段发生变化时，责任主体也随之发生改变。在门、急诊阶段一般由门、急诊出诊医师负责，住院阶段由所在科室的主管医师负责。当患者接受各种诊疗措施时，由每一个诊疗手段的实施者对这个诊疗阶段承担首诊职责，该实施者 包括所有医务人员，不限于医师。 </w:t>
      </w:r>
    </w:p>
    <w:p w14:paraId="16F3A80E">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第五条</w:t>
      </w:r>
      <w:r>
        <w:rPr>
          <w:rFonts w:ascii="仿宋_GB2312" w:hAnsi="仿宋_GB2312" w:eastAsia="仿宋_GB2312" w:cs="仿宋_GB2312"/>
          <w:color w:val="000000"/>
          <w:kern w:val="0"/>
          <w:sz w:val="31"/>
          <w:szCs w:val="31"/>
          <w:lang w:bidi="ar"/>
        </w:rPr>
        <w:t xml:space="preserve"> 保障医疗行为可追溯。首诊医师接诊患者后，应当对其实施的诊疗行为履行告知义务，并及时完成医疗记录，执行病历管理制度。首诊医师必须详细询问病史，进行体格检查、必要的辅助检查和处理，并</w:t>
      </w:r>
      <w:r>
        <w:rPr>
          <w:rFonts w:hint="eastAsia" w:ascii="仿宋_GB2312" w:hAnsi="仿宋_GB2312" w:eastAsia="仿宋_GB2312" w:cs="仿宋_GB2312"/>
          <w:color w:val="000000"/>
          <w:kern w:val="0"/>
          <w:sz w:val="31"/>
          <w:szCs w:val="31"/>
          <w:lang w:bidi="ar"/>
        </w:rPr>
        <w:t>按要求完成病历记录</w:t>
      </w:r>
      <w:r>
        <w:rPr>
          <w:rFonts w:ascii="仿宋_GB2312" w:hAnsi="仿宋_GB2312" w:eastAsia="仿宋_GB2312" w:cs="仿宋_GB2312"/>
          <w:color w:val="000000"/>
          <w:kern w:val="0"/>
          <w:sz w:val="31"/>
          <w:szCs w:val="31"/>
          <w:lang w:bidi="ar"/>
        </w:rPr>
        <w:t xml:space="preserve">。对诊断明确的患者应积极治疗或提出处理意见；对诊断尚未明确的患者应在对症治疗的同时，应及时请上级医师或有关科室医师会诊。 </w:t>
      </w:r>
    </w:p>
    <w:p w14:paraId="79793CA9">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第六条</w:t>
      </w:r>
      <w:r>
        <w:rPr>
          <w:rFonts w:ascii="仿宋_GB2312" w:hAnsi="仿宋_GB2312" w:eastAsia="仿宋_GB2312" w:cs="仿宋_GB2312"/>
          <w:color w:val="000000"/>
          <w:kern w:val="0"/>
          <w:sz w:val="31"/>
          <w:szCs w:val="31"/>
          <w:lang w:bidi="ar"/>
        </w:rPr>
        <w:t xml:space="preserve"> 被邀会诊的科室医师须按时会诊，执行医院会诊制度。会诊意见必须向邀请科室医师书面交待。两个科室的医师会诊意见不一致时，须分别请示本科室上级医师，直至本科主任。若双方仍不能达成一致意见，可上报</w:t>
      </w:r>
      <w:r>
        <w:rPr>
          <w:rFonts w:hint="eastAsia" w:ascii="仿宋_GB2312" w:hAnsi="仿宋_GB2312" w:eastAsia="仿宋_GB2312" w:cs="仿宋_GB2312"/>
          <w:color w:val="000000"/>
          <w:kern w:val="0"/>
          <w:sz w:val="31"/>
          <w:szCs w:val="31"/>
          <w:lang w:bidi="ar"/>
        </w:rPr>
        <w:t>医务处</w:t>
      </w:r>
      <w:r>
        <w:rPr>
          <w:rFonts w:ascii="仿宋_GB2312" w:hAnsi="仿宋_GB2312" w:eastAsia="仿宋_GB2312" w:cs="仿宋_GB2312"/>
          <w:color w:val="000000"/>
          <w:kern w:val="0"/>
          <w:sz w:val="31"/>
          <w:szCs w:val="31"/>
          <w:lang w:bidi="ar"/>
        </w:rPr>
        <w:t xml:space="preserve">，在尚未制定由哪一科室主管之前，由首诊科室、首诊医师负责诊治，不得推诿。 </w:t>
      </w:r>
    </w:p>
    <w:p w14:paraId="7FCE9D20">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第七条</w:t>
      </w:r>
      <w:r>
        <w:rPr>
          <w:rFonts w:ascii="仿宋_GB2312" w:hAnsi="仿宋_GB2312" w:eastAsia="仿宋_GB2312" w:cs="仿宋_GB2312"/>
          <w:color w:val="000000"/>
          <w:kern w:val="0"/>
          <w:sz w:val="31"/>
          <w:szCs w:val="31"/>
          <w:lang w:bidi="ar"/>
        </w:rPr>
        <w:t xml:space="preserve"> 若属危重抢救病人，首诊医师必须及时抢救病人，同时向上级医师汇报。严格执行急危重患者抢救制度，坚决杜绝科室间、医师间推诿病人。首诊医师对需要紧急抢救的患者， 须先抢救同时安排患者陪同人员办理挂号和交费等手续，不得 因强调挂号、交费等手续延误抢救时机。危重患者检查、转科、 住院均需有医护人员陪同。 </w:t>
      </w:r>
    </w:p>
    <w:p w14:paraId="258288AA">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第八条</w:t>
      </w:r>
      <w:r>
        <w:rPr>
          <w:rFonts w:ascii="仿宋_GB2312" w:hAnsi="仿宋_GB2312" w:eastAsia="仿宋_GB2312" w:cs="仿宋_GB2312"/>
          <w:color w:val="000000"/>
          <w:kern w:val="0"/>
          <w:sz w:val="31"/>
          <w:szCs w:val="31"/>
          <w:lang w:bidi="ar"/>
        </w:rPr>
        <w:t xml:space="preserve"> 首诊医师下班前，应将患者移交接班医师，执行医院值班和交接班制度，把患者的病情及需注意的事项交待清楚，并认真做好交接班记录。首诊医师开具的检查单，当班不能出结果者，应交给下班医师或与患者约定时间处理。 </w:t>
      </w:r>
    </w:p>
    <w:p w14:paraId="15592AEC">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第九条</w:t>
      </w:r>
      <w:r>
        <w:rPr>
          <w:rFonts w:ascii="仿宋_GB2312" w:hAnsi="仿宋_GB2312" w:eastAsia="仿宋_GB2312" w:cs="仿宋_GB2312"/>
          <w:color w:val="000000"/>
          <w:kern w:val="0"/>
          <w:sz w:val="31"/>
          <w:szCs w:val="31"/>
          <w:lang w:bidi="ar"/>
        </w:rPr>
        <w:t xml:space="preserve"> 对群发病例或者成批伤员，首诊医师首先实行必要的抢救，及时通知</w:t>
      </w:r>
      <w:r>
        <w:rPr>
          <w:rFonts w:hint="eastAsia" w:ascii="仿宋_GB2312" w:hAnsi="仿宋_GB2312" w:eastAsia="仿宋_GB2312" w:cs="仿宋_GB2312"/>
          <w:color w:val="000000"/>
          <w:kern w:val="0"/>
          <w:sz w:val="31"/>
          <w:szCs w:val="31"/>
          <w:lang w:bidi="ar"/>
        </w:rPr>
        <w:t>医务处</w:t>
      </w:r>
      <w:r>
        <w:rPr>
          <w:rFonts w:ascii="仿宋_GB2312" w:hAnsi="仿宋_GB2312" w:eastAsia="仿宋_GB2312" w:cs="仿宋_GB2312"/>
          <w:color w:val="000000"/>
          <w:kern w:val="0"/>
          <w:sz w:val="31"/>
          <w:szCs w:val="31"/>
          <w:lang w:bidi="ar"/>
        </w:rPr>
        <w:t xml:space="preserve">或总值班分流病人、组织各相关科室医师、护士等共同参与抢救。 </w:t>
      </w:r>
    </w:p>
    <w:p w14:paraId="0CE85AC9">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第十条</w:t>
      </w:r>
      <w:r>
        <w:rPr>
          <w:rFonts w:ascii="仿宋_GB2312" w:hAnsi="仿宋_GB2312" w:eastAsia="仿宋_GB2312" w:cs="仿宋_GB2312"/>
          <w:color w:val="000000"/>
          <w:kern w:val="0"/>
          <w:sz w:val="31"/>
          <w:szCs w:val="31"/>
          <w:lang w:bidi="ar"/>
        </w:rPr>
        <w:t xml:space="preserve"> 患者或家属自动要求转院、离院的，首诊医师应详细交代病情，书写记录，并由患方签字。 </w:t>
      </w:r>
    </w:p>
    <w:p w14:paraId="10402910">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第十一条</w:t>
      </w:r>
      <w:r>
        <w:rPr>
          <w:rFonts w:ascii="仿宋_GB2312" w:hAnsi="仿宋_GB2312" w:eastAsia="仿宋_GB2312" w:cs="仿宋_GB2312"/>
          <w:color w:val="000000"/>
          <w:kern w:val="0"/>
          <w:sz w:val="31"/>
          <w:szCs w:val="31"/>
          <w:lang w:bidi="ar"/>
        </w:rPr>
        <w:t xml:space="preserve"> 非本院诊疗科目范围内疾病，应告知患者或委托人，并建议患者前往相应医疗机构就诊，虽无法提供诊治，但必须先评估患者病情状况，判断其是否存在急危重症情况。如果患者病情平稳，应给患者提供适当的就医建议，履行告知义务并书写转诊医疗记录。对急危重症需抢救的患者应当按照急危重患者抢救制度进行诊疗。 </w:t>
      </w:r>
    </w:p>
    <w:p w14:paraId="2136458C">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第十二条</w:t>
      </w:r>
      <w:r>
        <w:rPr>
          <w:rFonts w:ascii="仿宋_GB2312" w:hAnsi="仿宋_GB2312" w:eastAsia="仿宋_GB2312" w:cs="仿宋_GB2312"/>
          <w:color w:val="000000"/>
          <w:kern w:val="0"/>
          <w:sz w:val="31"/>
          <w:szCs w:val="31"/>
          <w:lang w:bidi="ar"/>
        </w:rPr>
        <w:t xml:space="preserve"> 如果就诊患者借用他人信息挂号，医师有权拒绝接诊，不承担首诊负责制的主体责任，严格执行信息安全管理制度。但若患者病情处于急危重症状态，医师须按未挂号患者予以接诊并承担首诊职责。 </w:t>
      </w:r>
    </w:p>
    <w:p w14:paraId="18237709">
      <w:pPr>
        <w:widowControl/>
        <w:spacing w:line="240" w:lineRule="atLeast"/>
        <w:ind w:firstLine="622" w:firstLineChars="200"/>
        <w:jc w:val="left"/>
        <w:rPr>
          <w:rFonts w:ascii="仿宋_GB2312" w:hAnsi="仿宋_GB2312" w:eastAsia="仿宋_GB2312" w:cs="仿宋_GB2312"/>
          <w:color w:val="000000"/>
          <w:kern w:val="0"/>
          <w:sz w:val="31"/>
          <w:szCs w:val="31"/>
          <w:lang w:bidi="ar"/>
        </w:rPr>
      </w:pPr>
      <w:r>
        <w:rPr>
          <w:rFonts w:ascii="仿宋_GB2312" w:hAnsi="仿宋_GB2312" w:eastAsia="仿宋_GB2312" w:cs="仿宋_GB2312"/>
          <w:b/>
          <w:bCs/>
          <w:color w:val="000000"/>
          <w:kern w:val="0"/>
          <w:sz w:val="31"/>
          <w:szCs w:val="31"/>
          <w:lang w:bidi="ar"/>
        </w:rPr>
        <w:t>第十三条</w:t>
      </w:r>
      <w:r>
        <w:rPr>
          <w:rFonts w:ascii="仿宋_GB2312" w:hAnsi="仿宋_GB2312" w:eastAsia="仿宋_GB2312" w:cs="仿宋_GB2312"/>
          <w:color w:val="000000"/>
          <w:kern w:val="0"/>
          <w:sz w:val="31"/>
          <w:szCs w:val="31"/>
          <w:lang w:bidi="ar"/>
        </w:rPr>
        <w:t xml:space="preserve"> 互联网医疗服务的首诊责任管理按照国家卫生健康委发布《互联网诊疗管理办法（试行）》《互联网诊疗监管细则（试行）》等有关规定执行。 </w:t>
      </w:r>
    </w:p>
    <w:p w14:paraId="3AF656B4">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第十四条</w:t>
      </w:r>
      <w:r>
        <w:rPr>
          <w:rFonts w:ascii="仿宋_GB2312" w:hAnsi="仿宋_GB2312" w:eastAsia="仿宋_GB2312" w:cs="仿宋_GB2312"/>
          <w:color w:val="000000"/>
          <w:kern w:val="0"/>
          <w:sz w:val="31"/>
          <w:szCs w:val="31"/>
          <w:lang w:bidi="ar"/>
        </w:rPr>
        <w:t xml:space="preserve"> 凡在接诊、治疗、会诊、抢救病人</w:t>
      </w:r>
      <w:r>
        <w:rPr>
          <w:rFonts w:hint="eastAsia" w:ascii="仿宋_GB2312" w:hAnsi="仿宋_GB2312" w:eastAsia="仿宋_GB2312" w:cs="仿宋_GB2312"/>
          <w:color w:val="000000"/>
          <w:kern w:val="0"/>
          <w:sz w:val="31"/>
          <w:szCs w:val="31"/>
          <w:lang w:bidi="ar"/>
        </w:rPr>
        <w:t>、转科</w:t>
      </w:r>
      <w:r>
        <w:rPr>
          <w:rFonts w:ascii="仿宋_GB2312" w:hAnsi="仿宋_GB2312" w:eastAsia="仿宋_GB2312" w:cs="仿宋_GB2312"/>
          <w:color w:val="000000"/>
          <w:kern w:val="0"/>
          <w:sz w:val="31"/>
          <w:szCs w:val="31"/>
          <w:lang w:bidi="ar"/>
        </w:rPr>
        <w:t xml:space="preserve">或转院过程中未执行上述规定、推诿病人者，要追究首诊医师、当事人和科室的责任。 </w:t>
      </w:r>
    </w:p>
    <w:p w14:paraId="02C8A765">
      <w:pPr>
        <w:widowControl/>
        <w:spacing w:line="240" w:lineRule="atLeast"/>
        <w:ind w:firstLine="622" w:firstLineChars="200"/>
        <w:jc w:val="center"/>
      </w:pPr>
      <w:r>
        <w:rPr>
          <w:rFonts w:ascii="仿宋_GB2312" w:hAnsi="仿宋_GB2312" w:eastAsia="仿宋_GB2312" w:cs="仿宋_GB2312"/>
          <w:b/>
          <w:bCs/>
          <w:color w:val="000000"/>
          <w:kern w:val="0"/>
          <w:sz w:val="31"/>
          <w:szCs w:val="31"/>
          <w:lang w:bidi="ar"/>
        </w:rPr>
        <w:t>第三章 附 则</w:t>
      </w:r>
    </w:p>
    <w:p w14:paraId="72B85092">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第十六条</w:t>
      </w:r>
      <w:r>
        <w:rPr>
          <w:rFonts w:ascii="仿宋_GB2312" w:hAnsi="仿宋_GB2312" w:eastAsia="仿宋_GB2312" w:cs="仿宋_GB2312"/>
          <w:color w:val="000000"/>
          <w:kern w:val="0"/>
          <w:sz w:val="31"/>
          <w:szCs w:val="31"/>
          <w:lang w:bidi="ar"/>
        </w:rPr>
        <w:t xml:space="preserve"> 本制度由医务</w:t>
      </w:r>
      <w:r>
        <w:rPr>
          <w:rFonts w:hint="eastAsia" w:ascii="仿宋_GB2312" w:hAnsi="仿宋_GB2312" w:eastAsia="仿宋_GB2312" w:cs="仿宋_GB2312"/>
          <w:color w:val="000000"/>
          <w:kern w:val="0"/>
          <w:sz w:val="31"/>
          <w:szCs w:val="31"/>
          <w:lang w:bidi="ar"/>
        </w:rPr>
        <w:t>处</w:t>
      </w:r>
      <w:r>
        <w:rPr>
          <w:rFonts w:ascii="仿宋_GB2312" w:hAnsi="仿宋_GB2312" w:eastAsia="仿宋_GB2312" w:cs="仿宋_GB2312"/>
          <w:color w:val="000000"/>
          <w:kern w:val="0"/>
          <w:sz w:val="31"/>
          <w:szCs w:val="31"/>
          <w:lang w:bidi="ar"/>
        </w:rPr>
        <w:t xml:space="preserve">负责解释。 </w:t>
      </w:r>
    </w:p>
    <w:p w14:paraId="3B5D8E51">
      <w:pPr>
        <w:widowControl/>
        <w:spacing w:line="240" w:lineRule="atLeast"/>
        <w:ind w:firstLine="622" w:firstLineChars="200"/>
        <w:jc w:val="left"/>
      </w:pPr>
      <w:r>
        <w:rPr>
          <w:rFonts w:ascii="仿宋_GB2312" w:hAnsi="仿宋_GB2312" w:eastAsia="仿宋_GB2312" w:cs="仿宋_GB2312"/>
          <w:b/>
          <w:bCs/>
          <w:color w:val="000000"/>
          <w:kern w:val="0"/>
          <w:sz w:val="31"/>
          <w:szCs w:val="31"/>
          <w:lang w:bidi="ar"/>
        </w:rPr>
        <w:t>第十七条</w:t>
      </w:r>
      <w:r>
        <w:rPr>
          <w:rFonts w:ascii="仿宋_GB2312" w:hAnsi="仿宋_GB2312" w:eastAsia="仿宋_GB2312" w:cs="仿宋_GB2312"/>
          <w:color w:val="000000"/>
          <w:kern w:val="0"/>
          <w:sz w:val="31"/>
          <w:szCs w:val="31"/>
          <w:lang w:bidi="ar"/>
        </w:rPr>
        <w:t xml:space="preserve"> 本制度自发布之日起施行。 </w:t>
      </w:r>
    </w:p>
    <w:p w14:paraId="479D4159">
      <w:pPr>
        <w:widowControl/>
        <w:spacing w:line="240" w:lineRule="atLeast"/>
        <w:jc w:val="left"/>
        <w:rPr>
          <w:rFonts w:hint="eastAsia" w:ascii="仿宋_GB2312" w:hAnsi="仿宋_GB2312" w:eastAsia="仿宋_GB2312" w:cs="仿宋_GB2312"/>
          <w:color w:val="000000"/>
          <w:kern w:val="0"/>
          <w:sz w:val="31"/>
          <w:szCs w:val="31"/>
          <w:lang w:bidi="ar"/>
        </w:rPr>
      </w:pPr>
    </w:p>
    <w:p w14:paraId="3E65F434">
      <w:pPr>
        <w:widowControl/>
        <w:spacing w:line="240" w:lineRule="atLeast"/>
        <w:jc w:val="left"/>
      </w:pPr>
      <w:r>
        <w:rPr>
          <w:rFonts w:hint="eastAsia" w:ascii="仿宋_GB2312" w:hAnsi="仿宋_GB2312" w:eastAsia="仿宋_GB2312" w:cs="仿宋_GB2312"/>
          <w:color w:val="000000"/>
          <w:kern w:val="0"/>
          <w:sz w:val="31"/>
          <w:szCs w:val="31"/>
          <w:lang w:bidi="ar"/>
        </w:rPr>
        <w:t>附：</w:t>
      </w:r>
      <w:r>
        <w:rPr>
          <w:rFonts w:ascii="仿宋_GB2312" w:hAnsi="仿宋_GB2312" w:eastAsia="仿宋_GB2312" w:cs="仿宋_GB2312"/>
          <w:color w:val="000000"/>
          <w:kern w:val="0"/>
          <w:sz w:val="31"/>
          <w:szCs w:val="31"/>
          <w:lang w:bidi="ar"/>
        </w:rPr>
        <w:t>首诊负责制度流程图</w:t>
      </w:r>
    </w:p>
    <w:p w14:paraId="2D775960">
      <w:pPr>
        <w:spacing w:line="240" w:lineRule="atLeast"/>
      </w:pPr>
      <w:r>
        <w:drawing>
          <wp:inline distT="0" distB="0" distL="114300" distR="114300">
            <wp:extent cx="4579620" cy="54216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clrChange>
                        <a:clrFrom>
                          <a:srgbClr val="F8F8F8"/>
                        </a:clrFrom>
                        <a:clrTo>
                          <a:srgbClr val="F8F8F8">
                            <a:alpha val="0"/>
                          </a:srgbClr>
                        </a:clrTo>
                      </a:clrChange>
                    </a:blip>
                    <a:srcRect l="3389" r="2620" b="3786"/>
                    <a:stretch>
                      <a:fillRect/>
                    </a:stretch>
                  </pic:blipFill>
                  <pic:spPr>
                    <a:xfrm>
                      <a:off x="0" y="0"/>
                      <a:ext cx="4579620" cy="5421630"/>
                    </a:xfrm>
                    <a:prstGeom prst="rect">
                      <a:avLst/>
                    </a:prstGeom>
                    <a:noFill/>
                    <a:ln>
                      <a:noFill/>
                    </a:ln>
                  </pic:spPr>
                </pic:pic>
              </a:graphicData>
            </a:graphic>
          </wp:inline>
        </w:drawing>
      </w:r>
      <w:r>
        <w:drawing>
          <wp:inline distT="0" distB="0" distL="114300" distR="114300">
            <wp:extent cx="5270500" cy="66395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clrChange>
                        <a:clrFrom>
                          <a:srgbClr val="F8F8F8"/>
                        </a:clrFrom>
                        <a:clrTo>
                          <a:srgbClr val="F8F8F8">
                            <a:alpha val="0"/>
                          </a:srgbClr>
                        </a:clrTo>
                      </a:clrChange>
                    </a:blip>
                    <a:stretch>
                      <a:fillRect/>
                    </a:stretch>
                  </pic:blipFill>
                  <pic:spPr>
                    <a:xfrm>
                      <a:off x="0" y="0"/>
                      <a:ext cx="5270500" cy="6639560"/>
                    </a:xfrm>
                    <a:prstGeom prst="rect">
                      <a:avLst/>
                    </a:prstGeom>
                    <a:noFill/>
                    <a:ln>
                      <a:noFill/>
                    </a:ln>
                  </pic:spPr>
                </pic:pic>
              </a:graphicData>
            </a:graphic>
          </wp:inline>
        </w:drawing>
      </w:r>
    </w:p>
    <w:p w14:paraId="03F275B0">
      <w:pPr>
        <w:pStyle w:val="2"/>
        <w:ind w:firstLine="0" w:firstLineChars="0"/>
        <w:jc w:val="left"/>
        <w:rPr>
          <w:rFonts w:hint="eastAsia" w:ascii="仿宋_GB2312" w:hAnsi="楷体" w:cs="楷体"/>
        </w:rPr>
      </w:pPr>
    </w:p>
    <w:p w14:paraId="2E217971">
      <w:pPr>
        <w:spacing w:line="240" w:lineRule="atLeast"/>
      </w:pPr>
    </w:p>
    <w:p w14:paraId="39521A8B">
      <w:pPr>
        <w:spacing w:line="240" w:lineRule="atLeast"/>
      </w:pPr>
    </w:p>
    <w:p w14:paraId="23B019EE">
      <w:pPr>
        <w:spacing w:line="240" w:lineRule="atLeast"/>
        <w:rPr>
          <w:rFonts w:hint="eastAsia" w:ascii="仿宋_GB2312" w:hAnsi="仿宋_GB2312" w:eastAsia="仿宋_GB2312" w:cs="仿宋_GB2312"/>
          <w:sz w:val="32"/>
          <w:szCs w:val="32"/>
        </w:rPr>
      </w:pPr>
    </w:p>
    <w:p w14:paraId="49C63F9E">
      <w:pPr>
        <w:spacing w:line="240" w:lineRule="atLeast"/>
      </w:pPr>
    </w:p>
    <w:p w14:paraId="7CAF80A1">
      <w:pPr>
        <w:pStyle w:val="2"/>
        <w:ind w:firstLine="0" w:firstLineChars="0"/>
        <w:jc w:val="left"/>
        <w:rPr>
          <w:rFonts w:ascii="楷体" w:hAnsi="楷体" w:eastAsia="楷体" w:cs="楷体"/>
        </w:rPr>
      </w:pPr>
    </w:p>
    <w:p w14:paraId="4A75A0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C3B7364-0529-47FE-9A81-A479B671ED46}"/>
  </w:font>
  <w:font w:name="仿宋_GB2312">
    <w:altName w:val="仿宋"/>
    <w:panose1 w:val="02010609030101010101"/>
    <w:charset w:val="86"/>
    <w:family w:val="modern"/>
    <w:pitch w:val="default"/>
    <w:sig w:usb0="00000000" w:usb1="00000000" w:usb2="00000010" w:usb3="00000000" w:csb0="00040000" w:csb1="00000000"/>
    <w:embedRegular r:id="rId2" w:fontKey="{30D281B9-07C3-4FA7-8871-4D0E0EC149D4}"/>
  </w:font>
  <w:font w:name="楷体">
    <w:panose1 w:val="02010609060101010101"/>
    <w:charset w:val="86"/>
    <w:family w:val="modern"/>
    <w:pitch w:val="default"/>
    <w:sig w:usb0="800002BF" w:usb1="38CF7CFA" w:usb2="00000016" w:usb3="00000000" w:csb0="00040001" w:csb1="00000000"/>
    <w:embedRegular r:id="rId3" w:fontKey="{7972C085-63B4-4059-ACD6-FE7DE0200346}"/>
  </w:font>
  <w:font w:name="方正小标宋_GBK">
    <w:panose1 w:val="02000000000000000000"/>
    <w:charset w:val="86"/>
    <w:family w:val="auto"/>
    <w:pitch w:val="default"/>
    <w:sig w:usb0="A00002BF" w:usb1="38CF7CFA" w:usb2="00082016" w:usb3="00000000" w:csb0="00040001" w:csb1="00000000"/>
    <w:embedRegular r:id="rId4" w:fontKey="{BDDF8A5B-E95E-4E01-B68D-944D430402C7}"/>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D77EBE"/>
    <w:rsid w:val="08D77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spacing w:line="240" w:lineRule="atLeast"/>
      <w:ind w:firstLine="420" w:firstLineChars="200"/>
    </w:pPr>
    <w:rPr>
      <w:rFonts w:ascii="Times New Roman" w:hAnsi="Times New Roman" w:eastAsia="仿宋_GB2312"/>
      <w:sz w:val="32"/>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2025-06-11T07:28:00Z</dcterms:created>
  <dc:creator>杨宇博</dc:creator>
  <cp:lastModifiedBy>杨宇博</cp:lastModifiedBy>
  <dcterms:modified xsi:type="dcterms:W3CDTF">2025-06-11T07:28:53Z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624698BEE88C468ABDF2CB2CDAE02D07_11</vt:lpwstr>
  </property>
  <property fmtid="{D5CDD505-2E9C-101B-9397-08002B2CF9AE}" pid="4" name="KSOTemplateDocerSaveRecord">
    <vt:lpwstr>eyJoZGlkIjoiZjg0M2IwMGIxZGRiNWZhNzY3NTNkZTFhM2RmYTUyYjAiLCJ1c2VySWQiOiIyMDg2NTk0NTUifQ==</vt:lpwstr>
  </property>
</Properties>
</file>