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67313">
      <w:pPr>
        <w:pStyle w:val="2"/>
        <w:ind w:firstLine="0" w:firstLineChars="0"/>
        <w:jc w:val="left"/>
        <w:rPr>
          <w:rFonts w:ascii="仿宋_GB2312" w:hAnsi="楷体" w:cs="楷体"/>
        </w:rPr>
      </w:pPr>
      <w:bookmarkStart w:id="0" w:name="_Hlk171248156"/>
      <w:bookmarkEnd w:id="0"/>
      <w:r>
        <w:rPr>
          <w:rFonts w:hint="eastAsia" w:ascii="仿宋_GB2312" w:hAnsi="楷体" w:cs="楷体"/>
        </w:rPr>
        <w:t>附件4：</w:t>
      </w:r>
    </w:p>
    <w:p w14:paraId="148CDED3">
      <w:pPr>
        <w:keepNext/>
        <w:keepLines/>
        <w:spacing w:before="260" w:after="260" w:line="240" w:lineRule="atLeast"/>
        <w:jc w:val="center"/>
        <w:outlineLvl w:val="1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bookmarkStart w:id="1" w:name="_GoBack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北京电力医院分级护理制度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kern w:val="0"/>
          <w:sz w:val="44"/>
          <w:szCs w:val="44"/>
          <w:lang w:bidi="ar"/>
        </w:rPr>
        <w:t xml:space="preserve"> </w:t>
      </w:r>
    </w:p>
    <w:bookmarkEnd w:id="1"/>
    <w:p w14:paraId="64EB075B">
      <w:pPr>
        <w:widowControl/>
        <w:spacing w:line="240" w:lineRule="atLeast"/>
        <w:jc w:val="center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bidi="ar"/>
        </w:rPr>
        <w:t>第一章 总 则</w:t>
      </w:r>
    </w:p>
    <w:p w14:paraId="7E604946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bidi="ar"/>
        </w:rPr>
        <w:t>第一条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 按照国家分级护理管理相关指导原则和护理服务工作标准，制定我院分级护理制度。分级护理制度指医护人员根据住院患者病情和（或）自理能力对患者进行分级别护理的制度。 </w:t>
      </w:r>
    </w:p>
    <w:p w14:paraId="51CF532D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bidi="ar"/>
        </w:rPr>
        <w:t>第二条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 本制度适用于医院所有科室。 </w:t>
      </w:r>
    </w:p>
    <w:p w14:paraId="2D81C0EF">
      <w:pPr>
        <w:widowControl/>
        <w:spacing w:line="240" w:lineRule="atLeast"/>
        <w:jc w:val="center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bidi="ar"/>
        </w:rPr>
        <w:t>第二章 管理要求</w:t>
      </w:r>
    </w:p>
    <w:p w14:paraId="24FFA218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bidi="ar"/>
        </w:rPr>
        <w:t>第三条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 医护人员应当根据患者病情和（或）自理能力变化动态调整护理级别。住院患者的病情由主治医师进行评定，分为病危/抢救、病重/病情不稳定、病情稳定/康复期，需根据病情变化及时评定。 患者自理能力采用Barthel指数评定量表对日常生活活动，包括进食、洗澡、修饰、穿衣、控制大便、控制小便、如厕、床椅转移、平地行走、上下楼梯10个项目进行评定, 将各项得分相加即为总分，根据总分，将自理能力分为重度依赖、中度依赖、轻度依赖和无须依赖四个等级。患者新入院(转入)、出院、手术当天、术后第一天时，护士需对患者进行自理能力评分，当出现其他特殊情况，如病情变化等需重新评分。</w:t>
      </w:r>
    </w:p>
    <w:p w14:paraId="6910FEB6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bidi="ar"/>
        </w:rPr>
        <w:t>第四条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 患者在住院期间，医护人员根据患者病情和生活自 </w:t>
      </w:r>
    </w:p>
    <w:p w14:paraId="299E3E09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理能力，确定并实施不同级别的护理。护理分为四个级别：特级护理、一级护理、二级护理和三级护理。 </w:t>
      </w:r>
    </w:p>
    <w:p w14:paraId="6BBD5580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（一）特级护理 </w:t>
      </w:r>
    </w:p>
    <w:p w14:paraId="248D68B6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1.指征:适用于维持生命，实施抢救性治疗的重症监护患者; </w:t>
      </w:r>
    </w:p>
    <w:p w14:paraId="20FDFE46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病情危重，随时可能发生病情变化需要进行监护、抢救的患者。 </w:t>
      </w:r>
    </w:p>
    <w:p w14:paraId="02D0E6C8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>.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护理要求： </w:t>
      </w:r>
    </w:p>
    <w:p w14:paraId="661EDA27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（1）将患者安置在监护室，抢救患者安置于抢救室，备好 </w:t>
      </w:r>
    </w:p>
    <w:p w14:paraId="79218271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急救药品和物品。 </w:t>
      </w:r>
    </w:p>
    <w:p w14:paraId="1807E70E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（2）做好护理评估，按护理常规落实护理措施，做好护理 </w:t>
      </w:r>
    </w:p>
    <w:p w14:paraId="7AB86366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记录。 </w:t>
      </w:r>
    </w:p>
    <w:p w14:paraId="7692FA77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>（3）定时监测生命体征，严密观察患者病情变化，及时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>准确记录。</w:t>
      </w:r>
    </w:p>
    <w:p w14:paraId="6EB64412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（4）正确执行医嘱，认真落实各项治疗措施。 </w:t>
      </w:r>
    </w:p>
    <w:p w14:paraId="62D327D1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（5）按医嘱准确测量出入量，做好各种管道的护理，详细 </w:t>
      </w:r>
    </w:p>
    <w:p w14:paraId="6E9A95A2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记录各种导管的出入液量。 </w:t>
      </w:r>
    </w:p>
    <w:p w14:paraId="6CA0C3AF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（6）认真做好基础护理及专科护理。 </w:t>
      </w:r>
    </w:p>
    <w:p w14:paraId="0CA76A33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①卧位合理，舒适安全，符合治疗需要。 </w:t>
      </w:r>
    </w:p>
    <w:p w14:paraId="255AFE30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②保持床单位整洁，有污染及时更换。 </w:t>
      </w:r>
    </w:p>
    <w:p w14:paraId="099602FE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③保持口腔清洁，做好口腔护理，每日给予口腔护理 2 次， </w:t>
      </w:r>
    </w:p>
    <w:p w14:paraId="43D485C3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预防感染；保持胡须、头发整齐，洗脸。 </w:t>
      </w:r>
    </w:p>
    <w:p w14:paraId="16629261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④保持皮肤清洁、干燥，做好皮肤护理，预防压疮发生。 </w:t>
      </w:r>
    </w:p>
    <w:p w14:paraId="31DF1968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每天床上擦浴，包括洗脚及会阴护理；协助病人翻身，至少 2 </w:t>
      </w:r>
    </w:p>
    <w:p w14:paraId="1A30CE6E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小时一次，病情危重限制翻动者例外，仔细观察、评估皮肤情 </w:t>
      </w:r>
    </w:p>
    <w:p w14:paraId="387975F3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况，并记录，做好床旁交接班。 </w:t>
      </w:r>
    </w:p>
    <w:p w14:paraId="3E541E08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⑤做好患者气道管理，气管切开患者按照专科护理常规执 </w:t>
      </w:r>
    </w:p>
    <w:p w14:paraId="502ED96E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行，及时有效吸痰，保持呼吸道通畅。 </w:t>
      </w:r>
    </w:p>
    <w:p w14:paraId="1D4EFD1F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⑥按医嘱给予饮食，保证进食安全，防止误吸、呛咳等。 </w:t>
      </w:r>
    </w:p>
    <w:p w14:paraId="619C5069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⑦做好大小便护理。留置尿管的病人保持尿道口清洁，每 </w:t>
      </w:r>
    </w:p>
    <w:p w14:paraId="2D40046D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日会阴护理 1～2 次。 </w:t>
      </w:r>
    </w:p>
    <w:p w14:paraId="131552C6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⑧根据医嘱做好深静脉血栓预防。 </w:t>
      </w:r>
    </w:p>
    <w:p w14:paraId="40B2DF71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（7）对患者的重点治疗、护理内容实施班班床头交接。 </w:t>
      </w:r>
    </w:p>
    <w:p w14:paraId="1C9BF578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（二）一级护理 </w:t>
      </w:r>
    </w:p>
    <w:p w14:paraId="3ECF8DF8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1.指征:适用于病情趋向稳定的重症患者;病情不稳定或随 </w:t>
      </w:r>
    </w:p>
    <w:p w14:paraId="7E448069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时可能发生变化的患者;手术后或者治疗期间需要严格卧床的 </w:t>
      </w:r>
    </w:p>
    <w:p w14:paraId="1AB8A767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患者;自理能力重度依赖的患者。 </w:t>
      </w:r>
    </w:p>
    <w:p w14:paraId="67BC660C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>.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护理要求： </w:t>
      </w:r>
    </w:p>
    <w:p w14:paraId="5A44D18F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（1）每小时巡视患者，观察患者病情变化。 </w:t>
      </w:r>
    </w:p>
    <w:p w14:paraId="1F142CE7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（2）根据医嘱正确实施治疗、给药措施。 </w:t>
      </w:r>
    </w:p>
    <w:p w14:paraId="36AEC93A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（3）按病情需要，配备急救用物以备必要时应用。 </w:t>
      </w:r>
    </w:p>
    <w:p w14:paraId="490FAA20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（4）按照护理常规落实护理措施，加强基础护理和专科护理，防止并发症： </w:t>
      </w:r>
    </w:p>
    <w:p w14:paraId="64B6A580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①保持床单位整洁，有污染及时更换。 </w:t>
      </w:r>
    </w:p>
    <w:p w14:paraId="33694DC2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②保持口腔清洁，需要时做好口腔护理，每日 2 次。 </w:t>
      </w:r>
    </w:p>
    <w:p w14:paraId="35937416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③保持皮肤清洁、干燥，做好皮肤护理，协助患者翻身，2小时一次，观察、评估皮肤情况，并记录，做好交接班，预防 </w:t>
      </w:r>
    </w:p>
    <w:p w14:paraId="1ADF3D57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发生压疮。 </w:t>
      </w:r>
    </w:p>
    <w:p w14:paraId="545049CD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④做好大小便护理，留置尿管的病人保持尿道口清洁，每 </w:t>
      </w:r>
    </w:p>
    <w:p w14:paraId="25A98F12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日会阴护理 1～2 次。 </w:t>
      </w:r>
    </w:p>
    <w:p w14:paraId="36620C69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⑤做好生活护理，协助自理缺陷患者喂水、喂饭，送药到 </w:t>
      </w:r>
    </w:p>
    <w:p w14:paraId="4F05BBEF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口。 </w:t>
      </w:r>
    </w:p>
    <w:p w14:paraId="68A3D816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⑥根据医嘱做好深静脉血栓预防 </w:t>
      </w:r>
    </w:p>
    <w:p w14:paraId="00983287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（5）认真做好心理护理，提供护理相关的健康指导。 </w:t>
      </w:r>
    </w:p>
    <w:p w14:paraId="14AAB226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(三)二级护理 </w:t>
      </w:r>
    </w:p>
    <w:p w14:paraId="3DE42F10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1.指征:适用于病情趋于稳定或未明确诊断前，仍需观察，且自理能力轻度依赖的患者;病情稳定，仍需卧床，且自理能力 轻度依赖的患者;病情稳定或处于康复期，且自理能力中度依赖的患者。 </w:t>
      </w:r>
    </w:p>
    <w:p w14:paraId="16DAF9F8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>.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护理要求： </w:t>
      </w:r>
    </w:p>
    <w:p w14:paraId="480A2413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（1）每 2 小时巡视患者，观察患者病情变化。 </w:t>
      </w:r>
    </w:p>
    <w:p w14:paraId="4D40A5C2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（2）根据患者病情，测量生命体征。 </w:t>
      </w:r>
    </w:p>
    <w:p w14:paraId="67E7F167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（3）根据医嘱，正确实施治疗、给药措施。 </w:t>
      </w:r>
    </w:p>
    <w:p w14:paraId="097B2E4A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（4）根据患者病情，正确实施护理措施和安全措施。 </w:t>
      </w:r>
    </w:p>
    <w:p w14:paraId="6475ADD5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（5）提供护理相关的健康指导。 </w:t>
      </w:r>
    </w:p>
    <w:p w14:paraId="21E052FB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（四）三级护理 </w:t>
      </w:r>
    </w:p>
    <w:p w14:paraId="39FCDF48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1.指征:适用于病情稳定或处于康复期，且自理能力轻度 </w:t>
      </w:r>
    </w:p>
    <w:p w14:paraId="5AE52087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依赖或无须依赖的患者。 </w:t>
      </w:r>
    </w:p>
    <w:p w14:paraId="45F75A84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2.护理要求： </w:t>
      </w:r>
    </w:p>
    <w:p w14:paraId="5CD75E4A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（1）每 3 小时巡视患者，观察患者病情变化。 </w:t>
      </w:r>
    </w:p>
    <w:p w14:paraId="3269CC37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（2）根据患者病情，测量生命体征。 </w:t>
      </w:r>
    </w:p>
    <w:p w14:paraId="70648B91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（3）根据医嘱，正确实施治疗、给药措施。 </w:t>
      </w:r>
    </w:p>
    <w:p w14:paraId="6C8272AC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（4）提供护理相关的健康指导。 </w:t>
      </w:r>
    </w:p>
    <w:p w14:paraId="1729D510">
      <w:pPr>
        <w:widowControl/>
        <w:spacing w:line="240" w:lineRule="atLeast"/>
        <w:ind w:firstLine="620" w:firstLineChars="2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记录要求参照护理文件书写规范。 </w:t>
      </w:r>
    </w:p>
    <w:p w14:paraId="0292320D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b/>
          <w:bCs/>
          <w:kern w:val="0"/>
          <w:sz w:val="31"/>
          <w:szCs w:val="31"/>
          <w:lang w:bidi="ar"/>
        </w:rPr>
        <w:t>第五条</w:t>
      </w:r>
      <w:r>
        <w:rPr>
          <w:rFonts w:ascii="仿宋_GB2312" w:hAnsi="仿宋_GB2312" w:eastAsia="仿宋_GB2312" w:cs="仿宋_GB2312"/>
          <w:kern w:val="0"/>
          <w:sz w:val="31"/>
          <w:szCs w:val="31"/>
          <w:lang w:bidi="ar"/>
        </w:rPr>
        <w:t xml:space="preserve"> 患者护理级别应当明确标识。 </w:t>
      </w:r>
    </w:p>
    <w:p w14:paraId="5755D7F1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kern w:val="0"/>
          <w:sz w:val="31"/>
          <w:szCs w:val="31"/>
          <w:lang w:bidi="ar"/>
        </w:rPr>
        <w:t>(1)特级护理(特护)一般用</w:t>
      </w:r>
      <w:r>
        <w:rPr>
          <w:rFonts w:hint="eastAsia" w:ascii="仿宋_GB2312" w:hAnsi="仿宋_GB2312" w:eastAsia="仿宋_GB2312" w:cs="仿宋_GB2312"/>
          <w:kern w:val="0"/>
          <w:sz w:val="31"/>
          <w:szCs w:val="31"/>
          <w:lang w:bidi="ar"/>
        </w:rPr>
        <w:t>紫色</w:t>
      </w:r>
      <w:r>
        <w:rPr>
          <w:rFonts w:ascii="仿宋_GB2312" w:hAnsi="仿宋_GB2312" w:eastAsia="仿宋_GB2312" w:cs="仿宋_GB2312"/>
          <w:kern w:val="0"/>
          <w:sz w:val="31"/>
          <w:szCs w:val="31"/>
          <w:lang w:bidi="ar"/>
        </w:rPr>
        <w:t xml:space="preserve">标记，其护理的对象是病情危重或重大手术后的随时可能发生意外，需要严密观察和加强照护的患者。 </w:t>
      </w:r>
    </w:p>
    <w:p w14:paraId="602FFDF6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kern w:val="0"/>
          <w:sz w:val="31"/>
          <w:szCs w:val="31"/>
          <w:lang w:bidi="ar"/>
        </w:rPr>
        <w:t>(2)一级护理用</w:t>
      </w:r>
      <w:r>
        <w:rPr>
          <w:rFonts w:hint="eastAsia" w:ascii="仿宋_GB2312" w:hAnsi="仿宋_GB2312" w:eastAsia="仿宋_GB2312" w:cs="仿宋_GB2312"/>
          <w:kern w:val="0"/>
          <w:sz w:val="31"/>
          <w:szCs w:val="31"/>
          <w:lang w:bidi="ar"/>
        </w:rPr>
        <w:t>红色</w:t>
      </w:r>
      <w:r>
        <w:rPr>
          <w:rFonts w:ascii="仿宋_GB2312" w:hAnsi="仿宋_GB2312" w:eastAsia="仿宋_GB2312" w:cs="仿宋_GB2312"/>
          <w:kern w:val="0"/>
          <w:sz w:val="31"/>
          <w:szCs w:val="31"/>
          <w:lang w:bidi="ar"/>
        </w:rPr>
        <w:t xml:space="preserve">标记，表示重点护理，但不派专人守护。 </w:t>
      </w:r>
    </w:p>
    <w:p w14:paraId="1A5B3971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kern w:val="0"/>
          <w:sz w:val="31"/>
          <w:szCs w:val="31"/>
          <w:lang w:bidi="ar"/>
        </w:rPr>
        <w:t xml:space="preserve">(3)二级护理用蓝色标记，表示病情无危险性，主要是照顾病情稳定的重症恢复期患者，年老体弱、生活不能完全自理、不宜多活动的患者。 </w:t>
      </w:r>
    </w:p>
    <w:p w14:paraId="227283C5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kern w:val="0"/>
          <w:sz w:val="31"/>
          <w:szCs w:val="31"/>
          <w:lang w:bidi="ar"/>
        </w:rPr>
        <w:t>(4)三级护理是普通护理，用</w:t>
      </w:r>
      <w:r>
        <w:rPr>
          <w:rFonts w:hint="eastAsia" w:ascii="仿宋_GB2312" w:hAnsi="仿宋_GB2312" w:eastAsia="仿宋_GB2312" w:cs="仿宋_GB2312"/>
          <w:kern w:val="0"/>
          <w:sz w:val="31"/>
          <w:szCs w:val="31"/>
          <w:lang w:bidi="ar"/>
        </w:rPr>
        <w:t>蓝色</w:t>
      </w:r>
      <w:r>
        <w:rPr>
          <w:rFonts w:ascii="仿宋_GB2312" w:hAnsi="仿宋_GB2312" w:eastAsia="仿宋_GB2312" w:cs="仿宋_GB2312"/>
          <w:kern w:val="0"/>
          <w:sz w:val="31"/>
          <w:szCs w:val="31"/>
          <w:lang w:bidi="ar"/>
        </w:rPr>
        <w:t xml:space="preserve">标记或不做任何标记。 </w:t>
      </w:r>
    </w:p>
    <w:p w14:paraId="12159C89">
      <w:pPr>
        <w:widowControl/>
        <w:spacing w:line="240" w:lineRule="atLeast"/>
        <w:jc w:val="center"/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bidi="ar"/>
        </w:rPr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bidi="ar"/>
        </w:rPr>
        <w:t xml:space="preserve">第三章 附 则 </w:t>
      </w:r>
    </w:p>
    <w:p w14:paraId="2C6B0E25">
      <w:pPr>
        <w:widowControl/>
        <w:spacing w:line="240" w:lineRule="atLeast"/>
        <w:jc w:val="left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bidi="ar"/>
        </w:rPr>
        <w:t>第六条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 本制度由护理部负责解释。 </w:t>
      </w:r>
    </w:p>
    <w:p w14:paraId="1CB50BFA">
      <w:pPr>
        <w:widowControl/>
        <w:spacing w:line="240" w:lineRule="atLeast"/>
        <w:jc w:val="left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bidi="ar"/>
        </w:rPr>
        <w:t>第七条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bidi="ar"/>
        </w:rPr>
        <w:t xml:space="preserve"> 本制度自发布之日起施行。</w:t>
      </w:r>
    </w:p>
    <w:p w14:paraId="580024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CFA4C25-4CD0-47EC-B42D-7422C4F2E6A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BCA41C8C-AF12-49AB-A4E9-6DFFA3E46A9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85A8B689-2B3C-45E2-8CC1-FDC3DBB1112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EC076F"/>
    <w:rsid w:val="02EC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spacing w:line="240" w:lineRule="atLeast"/>
      <w:ind w:firstLine="420" w:firstLineChars="200"/>
    </w:pPr>
    <w:rPr>
      <w:rFonts w:ascii="Times New Roman" w:hAnsi="Times New Roman" w:eastAsia="仿宋_GB231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2025-06-11T07:31:00Z</dcterms:created>
  <dc:creator>杨宇博</dc:creator>
  <cp:lastModifiedBy>杨宇博</cp:lastModifiedBy>
  <dcterms:modified xsi:type="dcterms:W3CDTF">2025-06-11T07:31:29Z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43EA044468984183A8D3C3F38B9C6643_11</vt:lpwstr>
  </property>
  <property fmtid="{D5CDD505-2E9C-101B-9397-08002B2CF9AE}" pid="4" name="KSOTemplateDocerSaveRecord">
    <vt:lpwstr>eyJoZGlkIjoiZjg0M2IwMGIxZGRiNWZhNzY3NTNkZTFhM2RmYTUyYjAiLCJ1c2VySWQiOiIyMDg2NTk0NTUifQ==</vt:lpwstr>
  </property>
</Properties>
</file>